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A8" w:rsidRDefault="00F14FA8" w:rsidP="00750D2E">
      <w:pPr>
        <w:spacing w:before="100" w:beforeAutospacing="1" w:after="100" w:afterAutospacing="1" w:line="360" w:lineRule="auto"/>
        <w:jc w:val="center"/>
        <w:rPr>
          <w:rFonts w:ascii="黑体" w:eastAsia="黑体"/>
          <w:sz w:val="36"/>
          <w:szCs w:val="36"/>
        </w:rPr>
      </w:pPr>
      <w:r>
        <w:rPr>
          <w:rFonts w:ascii="黑体" w:eastAsia="黑体" w:hint="eastAsia"/>
          <w:sz w:val="36"/>
          <w:szCs w:val="36"/>
        </w:rPr>
        <w:t>全国拍卖业</w:t>
      </w:r>
      <w:r>
        <w:rPr>
          <w:rFonts w:ascii="黑体" w:eastAsia="黑体"/>
          <w:sz w:val="36"/>
          <w:szCs w:val="36"/>
        </w:rPr>
        <w:t>2013</w:t>
      </w:r>
      <w:r>
        <w:rPr>
          <w:rFonts w:ascii="黑体" w:eastAsia="黑体" w:hint="eastAsia"/>
          <w:sz w:val="36"/>
          <w:szCs w:val="36"/>
        </w:rPr>
        <w:t>年</w:t>
      </w:r>
      <w:r>
        <w:rPr>
          <w:rFonts w:ascii="黑体" w:eastAsia="黑体"/>
          <w:sz w:val="36"/>
          <w:szCs w:val="36"/>
        </w:rPr>
        <w:t>3</w:t>
      </w:r>
      <w:r>
        <w:rPr>
          <w:rFonts w:ascii="黑体" w:eastAsia="黑体" w:hint="eastAsia"/>
          <w:sz w:val="36"/>
          <w:szCs w:val="36"/>
        </w:rPr>
        <w:t>季度经营情况简报</w:t>
      </w:r>
    </w:p>
    <w:p w:rsidR="00F14FA8" w:rsidRDefault="00F14FA8" w:rsidP="00750D2E">
      <w:pPr>
        <w:pStyle w:val="ListParagraph"/>
        <w:spacing w:before="100" w:beforeAutospacing="1" w:after="100" w:afterAutospacing="1" w:line="360" w:lineRule="auto"/>
        <w:ind w:firstLine="31680"/>
        <w:jc w:val="left"/>
        <w:rPr>
          <w:rFonts w:ascii="宋体"/>
          <w:b/>
          <w:sz w:val="28"/>
          <w:szCs w:val="28"/>
        </w:rPr>
      </w:pPr>
      <w:r>
        <w:rPr>
          <w:rFonts w:ascii="黑体" w:eastAsia="黑体" w:hint="eastAsia"/>
          <w:sz w:val="28"/>
          <w:szCs w:val="28"/>
        </w:rPr>
        <w:t>一、今年前三季度拍卖业基本状况</w:t>
      </w:r>
    </w:p>
    <w:p w:rsidR="00F14FA8" w:rsidRPr="005367CA" w:rsidRDefault="00F14FA8" w:rsidP="00750D2E">
      <w:pPr>
        <w:pStyle w:val="ListParagraph"/>
        <w:spacing w:before="100" w:beforeAutospacing="1" w:after="100" w:afterAutospacing="1" w:line="360" w:lineRule="auto"/>
        <w:ind w:firstLine="31680"/>
        <w:rPr>
          <w:rFonts w:ascii="宋体"/>
          <w:sz w:val="28"/>
          <w:szCs w:val="28"/>
        </w:rPr>
      </w:pPr>
      <w:r w:rsidRPr="005367CA">
        <w:rPr>
          <w:rFonts w:ascii="宋体" w:hAnsi="宋体" w:hint="eastAsia"/>
          <w:sz w:val="28"/>
          <w:szCs w:val="28"/>
        </w:rPr>
        <w:t>截至</w:t>
      </w:r>
      <w:r>
        <w:rPr>
          <w:rFonts w:ascii="宋体" w:hAnsi="宋体"/>
          <w:sz w:val="28"/>
          <w:szCs w:val="28"/>
        </w:rPr>
        <w:t>10</w:t>
      </w:r>
      <w:r>
        <w:rPr>
          <w:rFonts w:ascii="宋体" w:hAnsi="宋体" w:hint="eastAsia"/>
          <w:sz w:val="28"/>
          <w:szCs w:val="28"/>
        </w:rPr>
        <w:t>月</w:t>
      </w:r>
      <w:r>
        <w:rPr>
          <w:rFonts w:ascii="宋体" w:hAnsi="宋体"/>
          <w:sz w:val="28"/>
          <w:szCs w:val="28"/>
        </w:rPr>
        <w:t>16</w:t>
      </w:r>
      <w:r>
        <w:rPr>
          <w:rFonts w:ascii="宋体" w:hAnsi="宋体" w:hint="eastAsia"/>
          <w:sz w:val="28"/>
          <w:szCs w:val="28"/>
        </w:rPr>
        <w:t>日“全国拍卖行业管理信息系统”汇总的各项信息和数据显示：</w:t>
      </w:r>
      <w:r w:rsidRPr="005367CA">
        <w:rPr>
          <w:rFonts w:ascii="宋体" w:hAnsi="宋体" w:hint="eastAsia"/>
          <w:sz w:val="28"/>
          <w:szCs w:val="28"/>
        </w:rPr>
        <w:t>全国共有拍卖企业</w:t>
      </w:r>
      <w:r>
        <w:rPr>
          <w:rFonts w:ascii="宋体" w:hAnsi="宋体"/>
          <w:sz w:val="28"/>
          <w:szCs w:val="28"/>
        </w:rPr>
        <w:t>6052</w:t>
      </w:r>
      <w:r w:rsidRPr="005367CA">
        <w:rPr>
          <w:rFonts w:ascii="宋体" w:hAnsi="宋体" w:hint="eastAsia"/>
          <w:sz w:val="28"/>
          <w:szCs w:val="28"/>
        </w:rPr>
        <w:t>家，</w:t>
      </w:r>
      <w:r>
        <w:rPr>
          <w:rFonts w:ascii="宋体" w:hAnsi="宋体" w:hint="eastAsia"/>
          <w:sz w:val="28"/>
          <w:szCs w:val="28"/>
        </w:rPr>
        <w:t>比去年同期增加</w:t>
      </w:r>
      <w:r>
        <w:rPr>
          <w:rFonts w:ascii="宋体" w:hAnsi="宋体"/>
          <w:sz w:val="28"/>
          <w:szCs w:val="28"/>
        </w:rPr>
        <w:t>313</w:t>
      </w:r>
      <w:r>
        <w:rPr>
          <w:rFonts w:ascii="宋体" w:hAnsi="宋体" w:hint="eastAsia"/>
          <w:sz w:val="28"/>
          <w:szCs w:val="28"/>
        </w:rPr>
        <w:t>家；</w:t>
      </w:r>
      <w:r w:rsidRPr="005367CA">
        <w:rPr>
          <w:rFonts w:ascii="宋体" w:hAnsi="宋体" w:hint="eastAsia"/>
          <w:sz w:val="28"/>
          <w:szCs w:val="28"/>
        </w:rPr>
        <w:t>国家注册拍卖师</w:t>
      </w:r>
      <w:r>
        <w:rPr>
          <w:rFonts w:ascii="宋体" w:hAnsi="宋体"/>
          <w:sz w:val="28"/>
          <w:szCs w:val="28"/>
        </w:rPr>
        <w:t>11040</w:t>
      </w:r>
      <w:r w:rsidRPr="005367CA">
        <w:rPr>
          <w:rFonts w:ascii="宋体" w:hAnsi="宋体" w:hint="eastAsia"/>
          <w:sz w:val="28"/>
          <w:szCs w:val="28"/>
        </w:rPr>
        <w:t>人，</w:t>
      </w:r>
      <w:r>
        <w:rPr>
          <w:rFonts w:ascii="宋体" w:hAnsi="宋体" w:hint="eastAsia"/>
          <w:sz w:val="28"/>
          <w:szCs w:val="28"/>
        </w:rPr>
        <w:t>拍卖</w:t>
      </w:r>
      <w:r w:rsidRPr="005367CA">
        <w:rPr>
          <w:rFonts w:ascii="宋体" w:hAnsi="宋体" w:hint="eastAsia"/>
          <w:sz w:val="28"/>
          <w:szCs w:val="28"/>
        </w:rPr>
        <w:t>从业人员</w:t>
      </w:r>
      <w:r>
        <w:rPr>
          <w:rFonts w:ascii="宋体" w:hAnsi="宋体" w:hint="eastAsia"/>
          <w:sz w:val="28"/>
          <w:szCs w:val="28"/>
        </w:rPr>
        <w:t>增至</w:t>
      </w:r>
      <w:r>
        <w:rPr>
          <w:rFonts w:ascii="宋体" w:hAnsi="宋体"/>
          <w:sz w:val="28"/>
          <w:szCs w:val="28"/>
        </w:rPr>
        <w:t>6.03</w:t>
      </w:r>
      <w:r>
        <w:rPr>
          <w:rFonts w:ascii="宋体" w:hAnsi="宋体" w:hint="eastAsia"/>
          <w:sz w:val="28"/>
          <w:szCs w:val="28"/>
        </w:rPr>
        <w:t>万人</w:t>
      </w:r>
      <w:r w:rsidRPr="005367CA">
        <w:rPr>
          <w:rFonts w:ascii="宋体" w:hAnsi="宋体" w:hint="eastAsia"/>
          <w:sz w:val="28"/>
          <w:szCs w:val="28"/>
        </w:rPr>
        <w:t>。</w:t>
      </w:r>
    </w:p>
    <w:p w:rsidR="00F14FA8" w:rsidRPr="003E4AFC"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hint="eastAsia"/>
          <w:sz w:val="28"/>
          <w:szCs w:val="28"/>
        </w:rPr>
        <w:t>自今年年初以来，在经济总体回暖的带动下，随着行业政策面有所好转，全行业前三季度拍卖成交状况开始向好。据统计，</w:t>
      </w:r>
      <w:r>
        <w:rPr>
          <w:rFonts w:ascii="宋体" w:hAnsi="宋体"/>
          <w:sz w:val="28"/>
          <w:szCs w:val="28"/>
        </w:rPr>
        <w:t>2013</w:t>
      </w:r>
      <w:r>
        <w:rPr>
          <w:rFonts w:ascii="宋体" w:hAnsi="宋体" w:hint="eastAsia"/>
          <w:sz w:val="28"/>
          <w:szCs w:val="28"/>
        </w:rPr>
        <w:t>年</w:t>
      </w:r>
      <w:r>
        <w:rPr>
          <w:rFonts w:ascii="宋体" w:hAnsi="宋体"/>
          <w:sz w:val="28"/>
          <w:szCs w:val="28"/>
        </w:rPr>
        <w:t>1</w:t>
      </w:r>
      <w:r>
        <w:rPr>
          <w:rFonts w:ascii="宋体" w:hAnsi="宋体" w:hint="eastAsia"/>
          <w:sz w:val="28"/>
          <w:szCs w:val="28"/>
        </w:rPr>
        <w:t>至</w:t>
      </w:r>
      <w:r>
        <w:rPr>
          <w:rFonts w:ascii="宋体" w:hAnsi="宋体"/>
          <w:sz w:val="28"/>
          <w:szCs w:val="28"/>
        </w:rPr>
        <w:t>9</w:t>
      </w:r>
      <w:r>
        <w:rPr>
          <w:rFonts w:ascii="宋体" w:hAnsi="宋体" w:hint="eastAsia"/>
          <w:sz w:val="28"/>
          <w:szCs w:val="28"/>
        </w:rPr>
        <w:t>月</w:t>
      </w:r>
      <w:r w:rsidRPr="005367CA">
        <w:rPr>
          <w:rFonts w:ascii="宋体" w:hAnsi="宋体" w:hint="eastAsia"/>
          <w:sz w:val="28"/>
          <w:szCs w:val="28"/>
        </w:rPr>
        <w:t>全国拍卖业</w:t>
      </w:r>
      <w:r>
        <w:rPr>
          <w:rFonts w:ascii="宋体" w:hAnsi="宋体" w:hint="eastAsia"/>
          <w:sz w:val="28"/>
          <w:szCs w:val="28"/>
        </w:rPr>
        <w:t>成交场次累计</w:t>
      </w:r>
      <w:r>
        <w:rPr>
          <w:rFonts w:ascii="宋体" w:hAnsi="宋体"/>
          <w:sz w:val="28"/>
          <w:szCs w:val="28"/>
        </w:rPr>
        <w:t>41982</w:t>
      </w:r>
      <w:r>
        <w:rPr>
          <w:rFonts w:ascii="宋体" w:hAnsi="宋体" w:hint="eastAsia"/>
          <w:sz w:val="28"/>
          <w:szCs w:val="28"/>
        </w:rPr>
        <w:t>场，</w:t>
      </w:r>
      <w:r w:rsidRPr="005367CA">
        <w:rPr>
          <w:rFonts w:ascii="宋体" w:hAnsi="宋体" w:hint="eastAsia"/>
          <w:sz w:val="28"/>
          <w:szCs w:val="28"/>
        </w:rPr>
        <w:t>实现成交额</w:t>
      </w:r>
      <w:r>
        <w:rPr>
          <w:rFonts w:ascii="宋体" w:hAnsi="宋体" w:hint="eastAsia"/>
          <w:sz w:val="28"/>
          <w:szCs w:val="28"/>
        </w:rPr>
        <w:t>累计</w:t>
      </w:r>
      <w:r>
        <w:rPr>
          <w:rFonts w:ascii="宋体" w:hAnsi="宋体"/>
          <w:sz w:val="28"/>
          <w:szCs w:val="28"/>
        </w:rPr>
        <w:t>4169.3</w:t>
      </w:r>
      <w:r>
        <w:rPr>
          <w:rFonts w:ascii="宋体" w:hAnsi="宋体" w:hint="eastAsia"/>
          <w:sz w:val="28"/>
          <w:szCs w:val="28"/>
        </w:rPr>
        <w:t>亿元，与去年同期相比增加</w:t>
      </w:r>
      <w:r>
        <w:rPr>
          <w:rFonts w:ascii="宋体" w:hAnsi="宋体"/>
          <w:sz w:val="28"/>
          <w:szCs w:val="28"/>
        </w:rPr>
        <w:t>1038</w:t>
      </w:r>
      <w:r>
        <w:rPr>
          <w:rFonts w:ascii="宋体" w:hAnsi="宋体" w:hint="eastAsia"/>
          <w:sz w:val="28"/>
          <w:szCs w:val="28"/>
        </w:rPr>
        <w:t>亿元，</w:t>
      </w:r>
      <w:r w:rsidRPr="003E4AFC">
        <w:rPr>
          <w:rFonts w:ascii="宋体" w:hAnsi="宋体" w:hint="eastAsia"/>
          <w:sz w:val="28"/>
          <w:szCs w:val="28"/>
        </w:rPr>
        <w:t>同比增</w:t>
      </w:r>
      <w:r>
        <w:rPr>
          <w:rFonts w:ascii="宋体" w:hAnsi="宋体" w:hint="eastAsia"/>
          <w:sz w:val="28"/>
          <w:szCs w:val="28"/>
        </w:rPr>
        <w:t>幅</w:t>
      </w:r>
      <w:r>
        <w:rPr>
          <w:rFonts w:ascii="宋体" w:hAnsi="宋体"/>
          <w:sz w:val="28"/>
          <w:szCs w:val="28"/>
        </w:rPr>
        <w:t>33.4%</w:t>
      </w:r>
      <w:r>
        <w:rPr>
          <w:rFonts w:ascii="宋体" w:hAnsi="宋体" w:hint="eastAsia"/>
          <w:sz w:val="28"/>
          <w:szCs w:val="28"/>
        </w:rPr>
        <w:t>。尽管</w:t>
      </w:r>
      <w:r w:rsidRPr="003E4AFC">
        <w:rPr>
          <w:rFonts w:ascii="宋体" w:hAnsi="宋体" w:hint="eastAsia"/>
          <w:sz w:val="28"/>
          <w:szCs w:val="28"/>
        </w:rPr>
        <w:t>增速与上半年</w:t>
      </w:r>
      <w:r>
        <w:rPr>
          <w:rFonts w:ascii="宋体" w:hAnsi="宋体" w:hint="eastAsia"/>
          <w:sz w:val="28"/>
          <w:szCs w:val="28"/>
        </w:rPr>
        <w:t>相比有所下降，但完全逆转了</w:t>
      </w:r>
      <w:r>
        <w:rPr>
          <w:rFonts w:ascii="宋体" w:hAnsi="宋体"/>
          <w:sz w:val="28"/>
          <w:szCs w:val="28"/>
        </w:rPr>
        <w:t>2012</w:t>
      </w:r>
      <w:r>
        <w:rPr>
          <w:rFonts w:ascii="宋体" w:hAnsi="宋体" w:hint="eastAsia"/>
          <w:sz w:val="28"/>
          <w:szCs w:val="28"/>
        </w:rPr>
        <w:t>年全年</w:t>
      </w:r>
      <w:r>
        <w:rPr>
          <w:rFonts w:ascii="宋体" w:hAnsi="宋体"/>
          <w:sz w:val="28"/>
          <w:szCs w:val="28"/>
        </w:rPr>
        <w:t>8.2%</w:t>
      </w:r>
      <w:r>
        <w:rPr>
          <w:rFonts w:ascii="宋体" w:hAnsi="宋体" w:hint="eastAsia"/>
          <w:sz w:val="28"/>
          <w:szCs w:val="28"/>
        </w:rPr>
        <w:t>的负增长。自</w:t>
      </w:r>
      <w:r>
        <w:rPr>
          <w:rFonts w:ascii="宋体" w:hAnsi="宋体"/>
          <w:sz w:val="28"/>
          <w:szCs w:val="28"/>
        </w:rPr>
        <w:t>2012</w:t>
      </w:r>
      <w:r>
        <w:rPr>
          <w:rFonts w:ascii="宋体" w:hAnsi="宋体" w:hint="eastAsia"/>
          <w:sz w:val="28"/>
          <w:szCs w:val="28"/>
        </w:rPr>
        <w:t>年全行业的经营结构性调整以来，行业经营缓中趋稳的走势进一步稳固。</w:t>
      </w:r>
    </w:p>
    <w:p w:rsidR="00F14FA8" w:rsidRPr="00C33E8A" w:rsidRDefault="00F14FA8" w:rsidP="00750D2E">
      <w:pPr>
        <w:pStyle w:val="ListParagraph"/>
        <w:numPr>
          <w:ilvl w:val="0"/>
          <w:numId w:val="1"/>
        </w:numPr>
        <w:spacing w:before="100" w:beforeAutospacing="1" w:after="100" w:afterAutospacing="1" w:line="360" w:lineRule="auto"/>
        <w:ind w:firstLineChars="0" w:hanging="153"/>
        <w:jc w:val="left"/>
        <w:rPr>
          <w:rFonts w:ascii="黑体" w:eastAsia="黑体"/>
          <w:sz w:val="28"/>
          <w:szCs w:val="28"/>
        </w:rPr>
      </w:pPr>
      <w:r w:rsidRPr="00C33E8A">
        <w:rPr>
          <w:rFonts w:ascii="黑体" w:eastAsia="黑体" w:hAnsi="宋体"/>
          <w:sz w:val="28"/>
          <w:szCs w:val="28"/>
        </w:rPr>
        <w:t>3</w:t>
      </w:r>
      <w:r w:rsidRPr="00C33E8A">
        <w:rPr>
          <w:rFonts w:ascii="黑体" w:eastAsia="黑体" w:hAnsi="宋体" w:hint="eastAsia"/>
          <w:sz w:val="28"/>
          <w:szCs w:val="28"/>
        </w:rPr>
        <w:t>季度行业经营整体状况</w:t>
      </w:r>
    </w:p>
    <w:p w:rsidR="00F14FA8" w:rsidRPr="009C567B" w:rsidRDefault="00F14FA8" w:rsidP="00750D2E">
      <w:pPr>
        <w:spacing w:before="100" w:beforeAutospacing="1" w:after="100" w:afterAutospacing="1" w:line="360" w:lineRule="auto"/>
        <w:ind w:firstLineChars="200" w:firstLine="31680"/>
        <w:jc w:val="left"/>
        <w:rPr>
          <w:rFonts w:ascii="宋体"/>
          <w:sz w:val="28"/>
          <w:szCs w:val="28"/>
        </w:rPr>
      </w:pPr>
      <w:r>
        <w:rPr>
          <w:rFonts w:ascii="宋体" w:hAnsi="宋体" w:hint="eastAsia"/>
          <w:sz w:val="28"/>
          <w:szCs w:val="28"/>
        </w:rPr>
        <w:t>统计</w:t>
      </w:r>
      <w:r w:rsidRPr="00A94C5E">
        <w:rPr>
          <w:rFonts w:ascii="宋体" w:hAnsi="宋体" w:hint="eastAsia"/>
          <w:sz w:val="28"/>
          <w:szCs w:val="28"/>
        </w:rPr>
        <w:t>显示，</w:t>
      </w:r>
      <w:r w:rsidRPr="00A94C5E">
        <w:rPr>
          <w:rFonts w:ascii="宋体" w:hAnsi="宋体"/>
          <w:sz w:val="28"/>
          <w:szCs w:val="28"/>
        </w:rPr>
        <w:t>201</w:t>
      </w:r>
      <w:r>
        <w:rPr>
          <w:rFonts w:ascii="宋体" w:hAnsi="宋体"/>
          <w:sz w:val="28"/>
          <w:szCs w:val="28"/>
        </w:rPr>
        <w:t>3</w:t>
      </w:r>
      <w:r>
        <w:rPr>
          <w:rFonts w:ascii="宋体" w:hAnsi="宋体" w:hint="eastAsia"/>
          <w:sz w:val="28"/>
          <w:szCs w:val="28"/>
        </w:rPr>
        <w:t>年</w:t>
      </w:r>
      <w:r>
        <w:rPr>
          <w:rFonts w:ascii="宋体" w:hAnsi="宋体"/>
          <w:sz w:val="28"/>
          <w:szCs w:val="28"/>
        </w:rPr>
        <w:t>3</w:t>
      </w:r>
      <w:r>
        <w:rPr>
          <w:rFonts w:ascii="宋体" w:hAnsi="宋体" w:hint="eastAsia"/>
          <w:sz w:val="28"/>
          <w:szCs w:val="28"/>
        </w:rPr>
        <w:t>季度全国拍卖总成交额为</w:t>
      </w:r>
      <w:r>
        <w:rPr>
          <w:rFonts w:ascii="宋体" w:hAnsi="宋体"/>
          <w:sz w:val="28"/>
          <w:szCs w:val="28"/>
        </w:rPr>
        <w:t>1660.72</w:t>
      </w:r>
      <w:r>
        <w:rPr>
          <w:rFonts w:ascii="宋体" w:hAnsi="宋体" w:hint="eastAsia"/>
          <w:sz w:val="28"/>
          <w:szCs w:val="28"/>
        </w:rPr>
        <w:t>亿元，与</w:t>
      </w:r>
      <w:r>
        <w:rPr>
          <w:rFonts w:ascii="宋体" w:hAnsi="宋体"/>
          <w:sz w:val="28"/>
          <w:szCs w:val="28"/>
        </w:rPr>
        <w:t>2012</w:t>
      </w:r>
      <w:r>
        <w:rPr>
          <w:rFonts w:ascii="宋体" w:hAnsi="宋体" w:hint="eastAsia"/>
          <w:sz w:val="28"/>
          <w:szCs w:val="28"/>
        </w:rPr>
        <w:t>年和</w:t>
      </w:r>
      <w:r>
        <w:rPr>
          <w:rFonts w:ascii="宋体" w:hAnsi="宋体"/>
          <w:sz w:val="28"/>
          <w:szCs w:val="28"/>
        </w:rPr>
        <w:t>2011</w:t>
      </w:r>
      <w:r>
        <w:rPr>
          <w:rFonts w:ascii="宋体" w:hAnsi="宋体" w:hint="eastAsia"/>
          <w:sz w:val="28"/>
          <w:szCs w:val="28"/>
        </w:rPr>
        <w:t>年同比，分别增长</w:t>
      </w:r>
      <w:r>
        <w:rPr>
          <w:rFonts w:ascii="宋体" w:hAnsi="宋体"/>
          <w:sz w:val="28"/>
          <w:szCs w:val="28"/>
        </w:rPr>
        <w:t>20.9%</w:t>
      </w:r>
      <w:r>
        <w:rPr>
          <w:rFonts w:ascii="宋体" w:hAnsi="宋体" w:hint="eastAsia"/>
          <w:sz w:val="28"/>
          <w:szCs w:val="28"/>
        </w:rPr>
        <w:t>、</w:t>
      </w:r>
      <w:r>
        <w:rPr>
          <w:rFonts w:ascii="宋体" w:hAnsi="宋体"/>
          <w:sz w:val="28"/>
          <w:szCs w:val="28"/>
        </w:rPr>
        <w:t>37.8%</w:t>
      </w:r>
      <w:r>
        <w:rPr>
          <w:rFonts w:ascii="宋体" w:hAnsi="宋体" w:hint="eastAsia"/>
          <w:sz w:val="28"/>
          <w:szCs w:val="28"/>
        </w:rPr>
        <w:t>，是</w:t>
      </w:r>
      <w:r>
        <w:rPr>
          <w:rFonts w:ascii="宋体" w:hAnsi="宋体"/>
          <w:sz w:val="28"/>
          <w:szCs w:val="28"/>
        </w:rPr>
        <w:t>2009</w:t>
      </w:r>
      <w:r>
        <w:rPr>
          <w:rFonts w:ascii="宋体" w:hAnsi="宋体" w:hint="eastAsia"/>
          <w:sz w:val="28"/>
          <w:szCs w:val="28"/>
        </w:rPr>
        <w:t>年以来历年</w:t>
      </w:r>
      <w:r>
        <w:rPr>
          <w:rFonts w:ascii="宋体" w:hAnsi="宋体"/>
          <w:sz w:val="28"/>
          <w:szCs w:val="28"/>
        </w:rPr>
        <w:t>3</w:t>
      </w:r>
      <w:r>
        <w:rPr>
          <w:rFonts w:ascii="宋体" w:hAnsi="宋体" w:hint="eastAsia"/>
          <w:sz w:val="28"/>
          <w:szCs w:val="28"/>
        </w:rPr>
        <w:t>季度中，成交额状况最好的一年，见图</w:t>
      </w:r>
      <w:r>
        <w:rPr>
          <w:rFonts w:ascii="宋体" w:hAnsi="宋体"/>
          <w:sz w:val="28"/>
          <w:szCs w:val="28"/>
        </w:rPr>
        <w:t>2-1</w:t>
      </w:r>
      <w:r>
        <w:rPr>
          <w:rFonts w:ascii="宋体" w:hAnsi="宋体" w:hint="eastAsia"/>
          <w:sz w:val="28"/>
          <w:szCs w:val="28"/>
        </w:rPr>
        <w:t>。但值得关注的是，成交明显增长的同时，</w:t>
      </w:r>
      <w:r>
        <w:rPr>
          <w:rFonts w:ascii="宋体"/>
          <w:sz w:val="28"/>
          <w:szCs w:val="28"/>
        </w:rPr>
        <w:t>3</w:t>
      </w:r>
      <w:r>
        <w:rPr>
          <w:rFonts w:ascii="宋体" w:hint="eastAsia"/>
          <w:sz w:val="28"/>
          <w:szCs w:val="28"/>
        </w:rPr>
        <w:t>季度</w:t>
      </w:r>
      <w:r>
        <w:rPr>
          <w:rFonts w:ascii="宋体" w:hAnsi="宋体" w:hint="eastAsia"/>
          <w:sz w:val="28"/>
          <w:szCs w:val="28"/>
        </w:rPr>
        <w:t>行业收入较往年仍略有下滑，</w:t>
      </w:r>
      <w:r>
        <w:rPr>
          <w:rFonts w:ascii="宋体" w:hint="eastAsia"/>
          <w:sz w:val="28"/>
          <w:szCs w:val="28"/>
        </w:rPr>
        <w:t>仅为</w:t>
      </w:r>
      <w:r>
        <w:rPr>
          <w:rFonts w:ascii="宋体"/>
          <w:sz w:val="28"/>
          <w:szCs w:val="28"/>
        </w:rPr>
        <w:t>19.7</w:t>
      </w:r>
      <w:r>
        <w:rPr>
          <w:rFonts w:ascii="宋体" w:hint="eastAsia"/>
          <w:sz w:val="28"/>
          <w:szCs w:val="28"/>
        </w:rPr>
        <w:t>亿元。</w:t>
      </w:r>
    </w:p>
    <w:p w:rsidR="00F14FA8" w:rsidRDefault="00F14FA8" w:rsidP="00750D2E">
      <w:pPr>
        <w:spacing w:before="100" w:beforeAutospacing="1" w:after="100" w:afterAutospacing="1" w:line="360" w:lineRule="auto"/>
        <w:jc w:val="center"/>
        <w:rPr>
          <w:rFonts w:ascii="宋体"/>
          <w:sz w:val="28"/>
          <w:szCs w:val="28"/>
        </w:rPr>
      </w:pPr>
      <w:r w:rsidRPr="00E10793">
        <w:rPr>
          <w:rFonts w:ascii="宋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361.5pt;height:25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COX12wAAAAUBAAAPAAAAZHJzL2Rvd25y&#10;ZXYueG1sTI/NTsMwEITvSLyDtUhcUOtQlFKFOBWq+DlxoCDl6sRbOyJeR7HbhLdn4UIvI41mNfNt&#10;uZ19L044xi6QgttlBgKpDaYjq+Dz43mxARGTJqP7QKjgGyNsq8uLUhcmTPSOp32ygksoFlqBS2ko&#10;pIytQ6/jMgxInB3C6HViO1ppRj1xue/lKsvW0uuOeMHpAXcO26/90Suobf66e7sJdv00NfVLdHUX&#10;D6TU9dX8+AAi4Zz+j+EXn9GhYqYmHMlE0SvgR9Kfcna/umPbKMizPAdZlfKcvv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8o5OpDAEAAGQB&#10;AAAgAAAAZHJzL2NoYXJ0cy9fcmVscy9jaGFydDEueG1sLnJlbHOE0M1Kw0AQB/C74Dssc282iSBa&#10;sunFCj2IIPWWy7qZfOhmN+yukr6BSJ9ABelB8OTJgx/g07Q1j+FeBAuCx2GY3//PJKOukeQKja21&#10;YhAFIRBUQue1KhmcTg8He0Cs4yrnUitkMEMLo3R7KzlByZ0/slXdWuIVZRlUzrVDSq2osOE20C0q&#10;vym0abjzoylpy8UFL5HGYbhLzW8D0g2TTHIGZpJHQKaz1if/b+uiqAUeaHHZoHJ/RFAt8fjsHIXz&#10;KDclOgZFLdFXpuNhtnyf94v58vX26+Ohf15kcRjtrN5esv31/fX65rFfPGWru894EAWdtN0PcaRz&#10;327cOTSKS6BpQjd+k34DAAD//wMAUEsDBBQABgAIAAAAIQDP1h36AQcAAOgaAAAVAAAAZHJzL2No&#10;YXJ0cy9jaGFydDEueG1s7FlLb9tGEL4X6H9gCd8K0XyJlIRIge3EaVAnMSInh95W5MpiTZHCcmVL&#10;vrYFemjQXFoULXJpm956yyXp689YAXrqX+jM7vIhWVISJUEu0UFa7s7uznw73wx3dOXqZBhrp5Rl&#10;UZq0dcswdY0mQRpGyXFbv3e0X2voWsZJEpI4TWhbn9JMv9r58IMrQSsYEMa7IxJQDRZJslbQ1gec&#10;j1rb21kwoEOSGemIJjDWT9mQcHhkx9shI2ew+DDetk3T2xaL6GoBssECQxIl+Xz2MvPTfj8K6LU0&#10;GA9pwqUWjMaEAwLZIBplegeMCwmnVtN0tVMSAy76NnbGJDmWHeeD2t5t2SkswFEe8ZiKxgS/WRQM&#10;OldIq5eG00MG80krzniXT2MqHkbYMzpk2pCwg7YOwEPjrmhESQiqiSaJj+FcAs50LaT9I9Lrnrf1&#10;puW6JkxgHHTDEyMHyS47QT21fprwHTGJjHmqa2hYooZBdAAmAPyH4ySADSywFdRKuqMAG9koOAy4&#10;MtnED5q4PS+xS/u5LM+kbC4G88vRnT5fI6dGe+O9mB1NBCC9cfe8aO6DGcXDbXA9IcJJ7yDjoglo&#10;3AXwMoDDaiAYPWF+JAAZt/UE5qDrsugE3DZJu6KlayeUoaOD88EUktE4Qrc2BRBZGkfhfhTHQvFp&#10;BrpJA8Fjw/TsiE44AppxGIA5VYTmpgrMNT4d0T6wo61/PExqMUcsSYuShQFK5ECQLQwEmUJfmioO&#10;AvwFF5FfYD56ZFuX3qiRmB9UnwU20tAKNlWjJaid2U9/4ynDecH3sg1oUrvX1TffwK5ZmqaBKs31&#10;+7y2IU+fXPzx+Pmjx7OHX85+/2X27LfnXz+8ePbrvz8/mn37w+yb7xe2p0l4SBhBR3o5JAEwgAio&#10;u50THBpc8D0m03SMvok9eSgYxSnfYZTI6KEEIJCA0+1h+MT+Y5aOR8BJ6Woy2LIQzz5oZRSOI2hF&#10;4aTCtKCVspAq1xTcy3UAd7+L9Axa/U53QCm3Ptra2XJQJdEL43sEYjNKjPheOk5ytsvtRlyDrSQd&#10;gtZpB09s9vQJzj8Vho3QR0CtYh35IDaFpkQC4hiwTKg/HfZSyC8YQwUhJTylQEAEBMv03t2yW1vX&#10;t+wXK+8uV96SHjCvPNotbcTYJ2xcL2YrMWe9mKPE3GViaxBTAABCqE0yHl46v90tB3EoDxGEikOU&#10;mXUvDWnnBk0oI7GAS+Rb0bt40CuwchpNw7aaxccDolbP/DJsvmsaZn2VVI6aZTUso+muEstRsx3b&#10;N6yFPUGB0lT5kPuZgAtRVW62wBKVrissUT3SP5d5286WUHJDlljme5YIMr1DlrjIkvIQS9eB2Ffy&#10;4bVYYrmmbyx46WVmWGazYXhuwaXmyhkFSxzPN+yVYgVLvKZl+Atim7PElmGzwhLVs44lgvGbssR6&#10;z5J3zZI6sqQ8xLfCEq/uGqa/Kubneddy/LphrkwNBTfs1VmmIIZpOcZCLtqcF84lXqiedbzw0NxN&#10;eWG/58W75oWHvCgP8W3wwvNNSAsvpIVZbxrWq2UP3zE8r8w3jVV7FHzx6tYbfN1S75SVRKJ61hFG&#10;xIdNCeO8OmHCg16c4Ts2NvC3uFOprCfvbzgyJMmYxAfiPofP6u5V8426vPPLb8tvXK+pyVN5x6k5&#10;hg8vCbbp2r5l2Y7XsJUIRIf5ZaGj3DEbpGf3ibooiXdVGM4VDWlMOZUbVMeENe8vUPIGufYC5SO5&#10;S4d7G+S2zEbDEHe00+KivOTV0PW91S+QRcrzPNPwxcW3XAwcotRbPqy4DcnbdcVfghaZ3Axlh2s2&#10;HcuxGzLHzffbDU8QF12zWqAAH9sRJY558XKZLCAw4Ri5krIISpeimCo3HEbJLTLB7WDZiiCZHKaq&#10;fNiTygzJ5yk7ioKTW1A/kJPzmgFWVIITIG4xJ4Fa3FEqJwYszbIdxVI0MDcEatQ4RNU+WBD9jDI1&#10;C5/mQIp7MRZOZV8AFVdRgYHeO/1+RvNCiaqJwtI5KuB6y+AplahYvQk8cQWeGywK8WwyoVtRZpKB&#10;dr7irLFUlpChug8NSu7DLy61og6NA9WiKgQ5lMZy10sVHVWNUBQdce5cdVVsyzuzB99d/PXgvz9/&#10;vHj2z+yrL+aqcevrakvj8i2oe8jjouExlTBNl3Uq33AMp/qBQL0YwE3DbtQhAzdcy6z7ru/44t0P&#10;XHdl9Iax4hyAoftDDjV4/L8D6y9tXV04oRSdjllAD6LkhIZYjhUn+OZ8vmTjGp8XQ7uUn1Gq/Lwn&#10;H8RJQ8End+UQ/mmQf2ZgavokZee7lfSulBdZC5xqxdCdMUdXneMYTvmUThUhi2ymdgMoqwVTbN+P&#10;sjtJrNJrLl/85QJBAMr5JL5GONEYpPS2zm6Gc2LiD6rO/wAAAP//AwBQSwECLQAUAAYACAAAACEA&#10;pPKVkRwBAABeAgAAEwAAAAAAAAAAAAAAAAAAAAAAW0NvbnRlbnRfVHlwZXNdLnhtbFBLAQItABQA&#10;BgAIAAAAIQA4/SH/1gAAAJQBAAALAAAAAAAAAAAAAAAAAE0BAABfcmVscy8ucmVsc1BLAQItABQA&#10;BgAIAAAAIQBJCOX12wAAAAUBAAAPAAAAAAAAAAAAAAAAAEwCAABkcnMvZG93bnJldi54bWxQSwEC&#10;LQAUAAYACAAAACEAGZ6CYwkBAAA0AgAADgAAAAAAAAAAAAAAAABUAwAAZHJzL2Uyb0RvYy54bWxQ&#10;SwECLQAUAAYACAAAACEAqxbNRrkAAAAiAQAAGQAAAAAAAAAAAAAAAACJBAAAZHJzL19yZWxzL2Uy&#10;b0RvYy54bWwucmVsc1BLAQItABQABgAIAAAAIQA8o5OpDAEAAGQBAAAgAAAAAAAAAAAAAAAAAHkF&#10;AABkcnMvY2hhcnRzL19yZWxzL2NoYXJ0MS54bWwucmVsc1BLAQItABQABgAIAAAAIQDP1h36AQcA&#10;AOgaAAAVAAAAAAAAAAAAAAAAAMMGAABkcnMvY2hhcnRzL2NoYXJ0MS54bWxQSwUGAAAAAAcABwDL&#10;AQAA9w0AAAAA&#10;">
            <v:imagedata r:id="rId7" o:title=""/>
            <o:lock v:ext="edit" aspectratio="f"/>
          </v:shape>
        </w:pict>
      </w:r>
    </w:p>
    <w:p w:rsidR="00F14FA8" w:rsidRPr="00CB72B6" w:rsidRDefault="00F14FA8" w:rsidP="00750D2E">
      <w:pPr>
        <w:pStyle w:val="ListParagraph"/>
        <w:spacing w:before="100" w:beforeAutospacing="1" w:after="100" w:afterAutospacing="1" w:line="360" w:lineRule="auto"/>
        <w:ind w:firstLineChars="202" w:firstLine="31680"/>
        <w:jc w:val="left"/>
        <w:rPr>
          <w:rFonts w:ascii="黑体" w:eastAsia="黑体" w:hAnsi="宋体"/>
          <w:sz w:val="28"/>
          <w:szCs w:val="28"/>
        </w:rPr>
      </w:pPr>
      <w:r w:rsidRPr="00CB72B6">
        <w:rPr>
          <w:rFonts w:ascii="黑体" w:eastAsia="黑体" w:hAnsi="宋体" w:hint="eastAsia"/>
          <w:sz w:val="28"/>
          <w:szCs w:val="28"/>
        </w:rPr>
        <w:t>三、</w:t>
      </w:r>
      <w:r w:rsidRPr="00CB72B6">
        <w:rPr>
          <w:rFonts w:ascii="黑体" w:eastAsia="黑体" w:hAnsi="宋体"/>
          <w:sz w:val="28"/>
          <w:szCs w:val="28"/>
        </w:rPr>
        <w:t>3</w:t>
      </w:r>
      <w:r w:rsidRPr="00CB72B6">
        <w:rPr>
          <w:rFonts w:ascii="黑体" w:eastAsia="黑体" w:hAnsi="宋体" w:hint="eastAsia"/>
          <w:sz w:val="28"/>
          <w:szCs w:val="28"/>
        </w:rPr>
        <w:t>季度行业经营特点</w:t>
      </w:r>
    </w:p>
    <w:p w:rsidR="00F14FA8" w:rsidRPr="00CB72B6" w:rsidRDefault="00F14FA8" w:rsidP="00750D2E">
      <w:pPr>
        <w:pStyle w:val="ListParagraph"/>
        <w:spacing w:before="100" w:beforeAutospacing="1" w:after="100" w:afterAutospacing="1" w:line="360" w:lineRule="auto"/>
        <w:ind w:firstLine="31680"/>
        <w:jc w:val="left"/>
        <w:rPr>
          <w:rFonts w:ascii="黑体" w:eastAsia="黑体"/>
          <w:sz w:val="28"/>
          <w:szCs w:val="28"/>
        </w:rPr>
      </w:pPr>
      <w:r>
        <w:rPr>
          <w:rFonts w:ascii="黑体" w:eastAsia="黑体" w:hAnsi="宋体" w:hint="eastAsia"/>
          <w:sz w:val="28"/>
          <w:szCs w:val="28"/>
        </w:rPr>
        <w:t>（一）拍品结构</w:t>
      </w:r>
      <w:r w:rsidRPr="00CB72B6">
        <w:rPr>
          <w:rFonts w:ascii="黑体" w:eastAsia="黑体" w:hAnsi="宋体" w:hint="eastAsia"/>
          <w:sz w:val="28"/>
          <w:szCs w:val="28"/>
        </w:rPr>
        <w:t>特点</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sz w:val="28"/>
          <w:szCs w:val="28"/>
        </w:rPr>
        <w:t>3</w:t>
      </w:r>
      <w:r>
        <w:rPr>
          <w:rFonts w:ascii="宋体" w:hAnsi="宋体" w:hint="eastAsia"/>
          <w:sz w:val="28"/>
          <w:szCs w:val="28"/>
        </w:rPr>
        <w:t>季度，除文物艺术品板块稍有回落外，各主要业务同比均有不同程度增长。其中，房地产和土地使用权拍卖业务同比均有两成左右的增长，分别成交</w:t>
      </w:r>
      <w:r>
        <w:rPr>
          <w:rFonts w:ascii="宋体" w:hAnsi="宋体"/>
          <w:sz w:val="28"/>
          <w:szCs w:val="28"/>
        </w:rPr>
        <w:t>510.9</w:t>
      </w:r>
      <w:r>
        <w:rPr>
          <w:rFonts w:ascii="宋体" w:hAnsi="宋体" w:hint="eastAsia"/>
          <w:sz w:val="28"/>
          <w:szCs w:val="28"/>
        </w:rPr>
        <w:t>亿和</w:t>
      </w:r>
      <w:r>
        <w:rPr>
          <w:rFonts w:ascii="宋体" w:hAnsi="宋体"/>
          <w:sz w:val="28"/>
          <w:szCs w:val="28"/>
        </w:rPr>
        <w:t>835.3</w:t>
      </w:r>
      <w:r>
        <w:rPr>
          <w:rFonts w:ascii="宋体" w:hAnsi="宋体" w:hint="eastAsia"/>
          <w:sz w:val="28"/>
          <w:szCs w:val="28"/>
        </w:rPr>
        <w:t>亿，在总成交额中继续保持超过八成的份额；以机动车、农产品为代表的新业务板块成交状况继续保持稳定增长，同比分别增长</w:t>
      </w:r>
      <w:r>
        <w:rPr>
          <w:rFonts w:ascii="宋体" w:hAnsi="宋体"/>
          <w:sz w:val="28"/>
          <w:szCs w:val="28"/>
        </w:rPr>
        <w:t>23.9%</w:t>
      </w:r>
      <w:r>
        <w:rPr>
          <w:rFonts w:ascii="宋体" w:hAnsi="宋体" w:hint="eastAsia"/>
          <w:sz w:val="28"/>
          <w:szCs w:val="28"/>
        </w:rPr>
        <w:t>、</w:t>
      </w:r>
      <w:r>
        <w:rPr>
          <w:rFonts w:ascii="宋体" w:hAnsi="宋体"/>
          <w:sz w:val="28"/>
          <w:szCs w:val="28"/>
        </w:rPr>
        <w:t>26%</w:t>
      </w:r>
      <w:r>
        <w:rPr>
          <w:rFonts w:ascii="宋体" w:hAnsi="宋体" w:hint="eastAsia"/>
          <w:sz w:val="28"/>
          <w:szCs w:val="28"/>
        </w:rPr>
        <w:t>。这两部分新业务占市场化业务的份额较小，但成交额持续快速增长，显示出市场化业务蕴藏的巨大潜力。此外，无形资产和股权、债权、产权以及其它业务的比例有所增加，成交额与去年同期相比均有不同程度增长，如表</w:t>
      </w:r>
      <w:r>
        <w:rPr>
          <w:rFonts w:ascii="宋体" w:hAnsi="宋体"/>
          <w:sz w:val="28"/>
          <w:szCs w:val="28"/>
        </w:rPr>
        <w:t>3-1</w:t>
      </w:r>
      <w:r>
        <w:rPr>
          <w:rFonts w:ascii="宋体" w:hAnsi="宋体" w:hint="eastAsia"/>
          <w:sz w:val="28"/>
          <w:szCs w:val="28"/>
        </w:rPr>
        <w:t>。</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sz w:val="28"/>
          <w:szCs w:val="28"/>
        </w:rPr>
        <w:t>3</w:t>
      </w:r>
      <w:r>
        <w:rPr>
          <w:rFonts w:ascii="宋体" w:hAnsi="宋体" w:hint="eastAsia"/>
          <w:sz w:val="28"/>
          <w:szCs w:val="28"/>
        </w:rPr>
        <w:t>季度，因处在春秋两季大拍中间的空档期，文物艺术品拍卖板块呈现季节性小幅回调，同比下降</w:t>
      </w:r>
      <w:r>
        <w:rPr>
          <w:rFonts w:ascii="宋体" w:hAnsi="宋体"/>
          <w:sz w:val="28"/>
          <w:szCs w:val="28"/>
        </w:rPr>
        <w:t>5.34%</w:t>
      </w:r>
      <w:r>
        <w:rPr>
          <w:rFonts w:ascii="宋体" w:hAnsi="宋体" w:hint="eastAsia"/>
          <w:sz w:val="28"/>
          <w:szCs w:val="28"/>
        </w:rPr>
        <w:t>。预计随着秋季大拍临近，该板块业务</w:t>
      </w:r>
      <w:r>
        <w:rPr>
          <w:rFonts w:ascii="宋体" w:hAnsi="宋体"/>
          <w:sz w:val="28"/>
          <w:szCs w:val="28"/>
        </w:rPr>
        <w:t>4</w:t>
      </w:r>
      <w:r>
        <w:rPr>
          <w:rFonts w:ascii="宋体" w:hAnsi="宋体" w:hint="eastAsia"/>
          <w:sz w:val="28"/>
          <w:szCs w:val="28"/>
        </w:rPr>
        <w:t>季度将趋向活跃。另外，随着自</w:t>
      </w:r>
      <w:r>
        <w:rPr>
          <w:rFonts w:ascii="宋体" w:hAnsi="宋体"/>
          <w:sz w:val="28"/>
          <w:szCs w:val="28"/>
        </w:rPr>
        <w:t>2011</w:t>
      </w:r>
      <w:r>
        <w:rPr>
          <w:rFonts w:ascii="宋体" w:hAnsi="宋体" w:hint="eastAsia"/>
          <w:sz w:val="28"/>
          <w:szCs w:val="28"/>
        </w:rPr>
        <w:t>年秋拍开始的市场调整幅度收窄，预计</w:t>
      </w:r>
      <w:r>
        <w:rPr>
          <w:rFonts w:ascii="宋体" w:hAnsi="宋体"/>
          <w:sz w:val="28"/>
          <w:szCs w:val="28"/>
        </w:rPr>
        <w:t>4</w:t>
      </w:r>
      <w:r>
        <w:rPr>
          <w:rFonts w:ascii="宋体" w:hAnsi="宋体" w:hint="eastAsia"/>
          <w:sz w:val="28"/>
          <w:szCs w:val="28"/>
        </w:rPr>
        <w:t>季度该板块成交额或能与上年持平。</w:t>
      </w:r>
    </w:p>
    <w:p w:rsidR="00F14FA8" w:rsidRDefault="00F14FA8" w:rsidP="00750D2E">
      <w:pPr>
        <w:pStyle w:val="ListParagraph"/>
        <w:spacing w:before="100" w:beforeAutospacing="1" w:after="100" w:afterAutospacing="1" w:line="360" w:lineRule="auto"/>
        <w:ind w:firstLine="31680"/>
        <w:jc w:val="center"/>
        <w:rPr>
          <w:rFonts w:ascii="宋体"/>
          <w:b/>
          <w:szCs w:val="21"/>
        </w:rPr>
      </w:pPr>
      <w:r w:rsidRPr="00BC31D5">
        <w:rPr>
          <w:rFonts w:ascii="宋体" w:hAnsi="宋体" w:hint="eastAsia"/>
          <w:b/>
          <w:szCs w:val="21"/>
        </w:rPr>
        <w:t>表</w:t>
      </w:r>
      <w:r w:rsidRPr="00BC31D5">
        <w:rPr>
          <w:rFonts w:ascii="宋体" w:hAnsi="宋体"/>
          <w:b/>
          <w:szCs w:val="21"/>
        </w:rPr>
        <w:t>3-1  3</w:t>
      </w:r>
      <w:r w:rsidRPr="00BC31D5">
        <w:rPr>
          <w:rFonts w:ascii="宋体" w:hAnsi="宋体" w:hint="eastAsia"/>
          <w:b/>
          <w:szCs w:val="21"/>
        </w:rPr>
        <w:t>季度拍品结构及增长情况</w:t>
      </w:r>
      <w:r w:rsidRPr="00BC31D5">
        <w:rPr>
          <w:rFonts w:ascii="宋体" w:hAnsi="宋体"/>
          <w:b/>
          <w:szCs w:val="21"/>
        </w:rPr>
        <w:t xml:space="preserve">     </w:t>
      </w:r>
      <w:r w:rsidRPr="00BC31D5">
        <w:rPr>
          <w:rFonts w:ascii="宋体" w:hAnsi="宋体" w:hint="eastAsia"/>
          <w:b/>
          <w:szCs w:val="21"/>
        </w:rPr>
        <w:t>单位：亿元</w:t>
      </w:r>
    </w:p>
    <w:p w:rsidR="00F14FA8" w:rsidRPr="00BC31D5" w:rsidRDefault="00F14FA8" w:rsidP="00750D2E">
      <w:pPr>
        <w:pStyle w:val="ListParagraph"/>
        <w:spacing w:before="100" w:beforeAutospacing="1" w:after="100" w:afterAutospacing="1" w:line="360" w:lineRule="auto"/>
        <w:ind w:firstLine="31680"/>
        <w:jc w:val="center"/>
        <w:rPr>
          <w:rFonts w:ascii="宋体"/>
          <w:b/>
          <w:szCs w:val="21"/>
        </w:rPr>
      </w:pPr>
    </w:p>
    <w:tbl>
      <w:tblPr>
        <w:tblW w:w="8120" w:type="dxa"/>
        <w:tblInd w:w="93" w:type="dxa"/>
        <w:tblLook w:val="00A0"/>
      </w:tblPr>
      <w:tblGrid>
        <w:gridCol w:w="1640"/>
        <w:gridCol w:w="1080"/>
        <w:gridCol w:w="1080"/>
        <w:gridCol w:w="1080"/>
        <w:gridCol w:w="1080"/>
        <w:gridCol w:w="1080"/>
        <w:gridCol w:w="1080"/>
      </w:tblGrid>
      <w:tr w:rsidR="00F14FA8" w:rsidRPr="00773B34" w:rsidTr="00773B34">
        <w:trPr>
          <w:trHeight w:val="270"/>
        </w:trPr>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项目拍卖标的</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b/>
                <w:bCs/>
                <w:kern w:val="0"/>
                <w:sz w:val="18"/>
                <w:szCs w:val="18"/>
              </w:rPr>
              <w:t>2013</w:t>
            </w:r>
            <w:r w:rsidRPr="00773B34">
              <w:rPr>
                <w:rFonts w:ascii="Arial" w:hAnsi="Arial" w:cs="Arial" w:hint="eastAsia"/>
                <w:b/>
                <w:bCs/>
                <w:kern w:val="0"/>
                <w:sz w:val="18"/>
                <w:szCs w:val="18"/>
              </w:rPr>
              <w:t>年第</w:t>
            </w:r>
            <w:r w:rsidRPr="00773B34">
              <w:rPr>
                <w:rFonts w:ascii="Arial" w:hAnsi="Arial" w:cs="Arial"/>
                <w:b/>
                <w:bCs/>
                <w:kern w:val="0"/>
                <w:sz w:val="18"/>
                <w:szCs w:val="18"/>
              </w:rPr>
              <w:t>3</w:t>
            </w:r>
            <w:r w:rsidRPr="00773B34">
              <w:rPr>
                <w:rFonts w:ascii="Arial" w:hAnsi="Arial" w:cs="Arial" w:hint="eastAsia"/>
                <w:b/>
                <w:bCs/>
                <w:kern w:val="0"/>
                <w:sz w:val="18"/>
                <w:szCs w:val="18"/>
              </w:rPr>
              <w:t>季度</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比例</w:t>
            </w:r>
          </w:p>
        </w:tc>
        <w:tc>
          <w:tcPr>
            <w:tcW w:w="2160" w:type="dxa"/>
            <w:gridSpan w:val="2"/>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同比增长</w:t>
            </w:r>
          </w:p>
        </w:tc>
        <w:tc>
          <w:tcPr>
            <w:tcW w:w="2160" w:type="dxa"/>
            <w:gridSpan w:val="2"/>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环比增长</w:t>
            </w:r>
          </w:p>
        </w:tc>
      </w:tr>
      <w:tr w:rsidR="00F14FA8" w:rsidRPr="00773B34" w:rsidTr="00773B34">
        <w:trPr>
          <w:trHeight w:val="480"/>
        </w:trPr>
        <w:tc>
          <w:tcPr>
            <w:tcW w:w="1640" w:type="dxa"/>
            <w:vMerge/>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left"/>
              <w:rPr>
                <w:rFonts w:ascii="Arial" w:hAnsi="Arial" w:cs="Arial"/>
                <w:b/>
                <w:bCs/>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left"/>
              <w:rPr>
                <w:rFonts w:ascii="Arial" w:hAnsi="Arial" w:cs="Arial"/>
                <w:b/>
                <w:bCs/>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left"/>
              <w:rPr>
                <w:rFonts w:ascii="Arial" w:hAnsi="Arial" w:cs="Arial"/>
                <w:b/>
                <w:bCs/>
                <w:kern w:val="0"/>
                <w:sz w:val="18"/>
                <w:szCs w:val="18"/>
              </w:rPr>
            </w:pP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b/>
                <w:bCs/>
                <w:kern w:val="0"/>
                <w:sz w:val="18"/>
                <w:szCs w:val="18"/>
              </w:rPr>
              <w:t>2012</w:t>
            </w:r>
            <w:r w:rsidRPr="00773B34">
              <w:rPr>
                <w:rFonts w:ascii="Arial" w:hAnsi="Arial" w:cs="Arial" w:hint="eastAsia"/>
                <w:b/>
                <w:bCs/>
                <w:kern w:val="0"/>
                <w:sz w:val="18"/>
                <w:szCs w:val="18"/>
              </w:rPr>
              <w:t>年第</w:t>
            </w:r>
            <w:r w:rsidRPr="00773B34">
              <w:rPr>
                <w:rFonts w:ascii="Arial" w:hAnsi="Arial" w:cs="Arial"/>
                <w:b/>
                <w:bCs/>
                <w:kern w:val="0"/>
                <w:sz w:val="18"/>
                <w:szCs w:val="18"/>
              </w:rPr>
              <w:t>3</w:t>
            </w:r>
            <w:r w:rsidRPr="00773B34">
              <w:rPr>
                <w:rFonts w:ascii="Arial" w:hAnsi="Arial" w:cs="Arial" w:hint="eastAsia"/>
                <w:b/>
                <w:bCs/>
                <w:kern w:val="0"/>
                <w:sz w:val="18"/>
                <w:szCs w:val="18"/>
              </w:rPr>
              <w:t>季度</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增长率</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b/>
                <w:bCs/>
                <w:kern w:val="0"/>
                <w:sz w:val="18"/>
                <w:szCs w:val="18"/>
              </w:rPr>
              <w:t>2013</w:t>
            </w:r>
            <w:r w:rsidRPr="00773B34">
              <w:rPr>
                <w:rFonts w:ascii="Arial" w:hAnsi="Arial" w:cs="Arial" w:hint="eastAsia"/>
                <w:b/>
                <w:bCs/>
                <w:kern w:val="0"/>
                <w:sz w:val="18"/>
                <w:szCs w:val="18"/>
              </w:rPr>
              <w:t>年第</w:t>
            </w:r>
            <w:r w:rsidRPr="00773B34">
              <w:rPr>
                <w:rFonts w:ascii="Arial" w:hAnsi="Arial" w:cs="Arial"/>
                <w:b/>
                <w:bCs/>
                <w:kern w:val="0"/>
                <w:sz w:val="18"/>
                <w:szCs w:val="18"/>
              </w:rPr>
              <w:t>2</w:t>
            </w:r>
            <w:r w:rsidRPr="00773B34">
              <w:rPr>
                <w:rFonts w:ascii="Arial" w:hAnsi="Arial" w:cs="Arial" w:hint="eastAsia"/>
                <w:b/>
                <w:bCs/>
                <w:kern w:val="0"/>
                <w:sz w:val="18"/>
                <w:szCs w:val="18"/>
              </w:rPr>
              <w:t>季度</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b/>
                <w:bCs/>
                <w:kern w:val="0"/>
                <w:sz w:val="18"/>
                <w:szCs w:val="18"/>
              </w:rPr>
            </w:pPr>
            <w:r w:rsidRPr="00773B34">
              <w:rPr>
                <w:rFonts w:ascii="Arial" w:hAnsi="Arial" w:cs="Arial" w:hint="eastAsia"/>
                <w:b/>
                <w:bCs/>
                <w:kern w:val="0"/>
                <w:sz w:val="18"/>
                <w:szCs w:val="18"/>
              </w:rPr>
              <w:t>增长率</w:t>
            </w:r>
          </w:p>
        </w:tc>
      </w:tr>
      <w:tr w:rsidR="00F14FA8" w:rsidRPr="00773B34" w:rsidTr="00773B34">
        <w:trPr>
          <w:trHeight w:val="270"/>
        </w:trPr>
        <w:tc>
          <w:tcPr>
            <w:tcW w:w="1640" w:type="dxa"/>
            <w:tcBorders>
              <w:top w:val="nil"/>
              <w:left w:val="single" w:sz="4" w:space="0" w:color="000000"/>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全国</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16607158</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100.00%</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13760567</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20.69%</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14383197</w:t>
            </w:r>
          </w:p>
        </w:tc>
        <w:tc>
          <w:tcPr>
            <w:tcW w:w="1080" w:type="dxa"/>
            <w:tcBorders>
              <w:top w:val="nil"/>
              <w:left w:val="nil"/>
              <w:bottom w:val="nil"/>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15.46%</w:t>
            </w:r>
          </w:p>
        </w:tc>
      </w:tr>
      <w:tr w:rsidR="00F14FA8" w:rsidRPr="00773B34" w:rsidTr="00773B34">
        <w:trPr>
          <w:trHeight w:val="270"/>
        </w:trPr>
        <w:tc>
          <w:tcPr>
            <w:tcW w:w="1640" w:type="dxa"/>
            <w:tcBorders>
              <w:top w:val="single" w:sz="4" w:space="0" w:color="000000"/>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房地产</w:t>
            </w:r>
            <w:r w:rsidRPr="00773B34">
              <w:rPr>
                <w:rFonts w:ascii="Arial" w:hAnsi="Arial" w:cs="Arial"/>
                <w:kern w:val="0"/>
                <w:sz w:val="18"/>
                <w:szCs w:val="18"/>
              </w:rPr>
              <w:t xml:space="preserve"> </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5109031.9</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30.76%</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4244942.1</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20.36%</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4186012.2</w:t>
            </w:r>
          </w:p>
        </w:tc>
        <w:tc>
          <w:tcPr>
            <w:tcW w:w="1080" w:type="dxa"/>
            <w:tcBorders>
              <w:top w:val="single" w:sz="4" w:space="0" w:color="000000"/>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22.05%</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土地使用权</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8352910.2</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50.30%</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7105444.4</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17.56%</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7212442.1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15.81%</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机动车</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154014.49</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0.93%</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124326.38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23.88%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140507.76</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9.61%</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农副产品</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72260.428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0.44%</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57309.113</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26.09%</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49087.511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47.21%</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股权、债权、产权</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971946.84</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5.85%</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631523.12</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53.91%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345978.91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180.93%</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文物艺术品</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440920.45</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2.66%</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465799.57</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-5.34%</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1014260.8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-56.53%</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无形资产</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356887.24</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2.15%</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348846.71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2.30%</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389338.55</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-8.33%</w:t>
            </w:r>
          </w:p>
        </w:tc>
      </w:tr>
      <w:tr w:rsidR="00F14FA8" w:rsidRPr="00773B34" w:rsidTr="00773B34">
        <w:trPr>
          <w:trHeight w:val="270"/>
        </w:trPr>
        <w:tc>
          <w:tcPr>
            <w:tcW w:w="1640" w:type="dxa"/>
            <w:tcBorders>
              <w:top w:val="nil"/>
              <w:left w:val="single" w:sz="4" w:space="0" w:color="000000"/>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hint="eastAsia"/>
                <w:kern w:val="0"/>
                <w:sz w:val="18"/>
                <w:szCs w:val="18"/>
              </w:rPr>
              <w:t>其他</w:t>
            </w:r>
            <w:r w:rsidRPr="00773B34">
              <w:rPr>
                <w:rFonts w:ascii="Arial" w:hAnsi="Arial" w:cs="Arial"/>
                <w:kern w:val="0"/>
                <w:sz w:val="18"/>
                <w:szCs w:val="18"/>
              </w:rPr>
              <w:t xml:space="preserve"> </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1149186.9</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6.92%</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782375.71</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46.88%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1045568.8</w:t>
            </w:r>
          </w:p>
        </w:tc>
        <w:tc>
          <w:tcPr>
            <w:tcW w:w="1080" w:type="dxa"/>
            <w:tcBorders>
              <w:top w:val="nil"/>
              <w:left w:val="nil"/>
              <w:bottom w:val="single" w:sz="4" w:space="0" w:color="000000"/>
              <w:right w:val="single" w:sz="4" w:space="0" w:color="000000"/>
            </w:tcBorders>
            <w:vAlign w:val="center"/>
          </w:tcPr>
          <w:p w:rsidR="00F14FA8" w:rsidRPr="00773B34" w:rsidRDefault="00F14FA8" w:rsidP="00750D2E">
            <w:pPr>
              <w:widowControl/>
              <w:spacing w:before="100" w:beforeAutospacing="1" w:after="100" w:afterAutospacing="1" w:line="360" w:lineRule="auto"/>
              <w:jc w:val="center"/>
              <w:rPr>
                <w:rFonts w:ascii="Arial" w:hAnsi="Arial" w:cs="Arial"/>
                <w:kern w:val="0"/>
                <w:sz w:val="18"/>
                <w:szCs w:val="18"/>
              </w:rPr>
            </w:pPr>
            <w:r w:rsidRPr="00773B34">
              <w:rPr>
                <w:rFonts w:ascii="Arial" w:hAnsi="Arial" w:cs="Arial"/>
                <w:kern w:val="0"/>
                <w:sz w:val="18"/>
                <w:szCs w:val="18"/>
              </w:rPr>
              <w:t>9.91%</w:t>
            </w:r>
          </w:p>
        </w:tc>
      </w:tr>
    </w:tbl>
    <w:p w:rsidR="00F14FA8" w:rsidRDefault="00F14FA8" w:rsidP="00750D2E">
      <w:pPr>
        <w:pStyle w:val="ListParagraph"/>
        <w:spacing w:before="100" w:beforeAutospacing="1" w:after="100" w:afterAutospacing="1" w:line="360" w:lineRule="auto"/>
        <w:ind w:firstLineChars="0" w:firstLine="0"/>
        <w:jc w:val="left"/>
        <w:rPr>
          <w:rFonts w:ascii="宋体"/>
          <w:szCs w:val="21"/>
        </w:rPr>
      </w:pPr>
    </w:p>
    <w:p w:rsidR="00F14FA8" w:rsidRPr="00F54D5E" w:rsidRDefault="00F14FA8" w:rsidP="00750D2E">
      <w:pPr>
        <w:pStyle w:val="ListParagraph"/>
        <w:spacing w:before="100" w:beforeAutospacing="1" w:after="100" w:afterAutospacing="1" w:line="360" w:lineRule="auto"/>
        <w:ind w:firstLineChars="0" w:firstLine="0"/>
        <w:jc w:val="left"/>
        <w:rPr>
          <w:rFonts w:ascii="宋体"/>
          <w:szCs w:val="21"/>
        </w:rPr>
      </w:pPr>
    </w:p>
    <w:p w:rsidR="00F14FA8" w:rsidRDefault="00F14FA8" w:rsidP="00750D2E">
      <w:pPr>
        <w:pStyle w:val="ListParagraph"/>
        <w:spacing w:before="100" w:beforeAutospacing="1" w:after="100" w:afterAutospacing="1" w:line="360" w:lineRule="auto"/>
        <w:ind w:firstLine="31680"/>
        <w:jc w:val="left"/>
        <w:rPr>
          <w:rFonts w:ascii="黑体" w:eastAsia="黑体"/>
          <w:sz w:val="28"/>
          <w:szCs w:val="28"/>
        </w:rPr>
      </w:pPr>
      <w:r>
        <w:rPr>
          <w:rFonts w:ascii="黑体" w:eastAsia="黑体"/>
          <w:sz w:val="28"/>
          <w:szCs w:val="28"/>
        </w:rPr>
        <w:t>1.</w:t>
      </w:r>
      <w:r w:rsidRPr="00BE32E6">
        <w:rPr>
          <w:rFonts w:ascii="黑体" w:eastAsia="黑体"/>
          <w:sz w:val="28"/>
          <w:szCs w:val="28"/>
        </w:rPr>
        <w:t xml:space="preserve"> </w:t>
      </w:r>
      <w:r>
        <w:rPr>
          <w:rFonts w:ascii="黑体" w:eastAsia="黑体" w:hint="eastAsia"/>
          <w:sz w:val="28"/>
          <w:szCs w:val="28"/>
        </w:rPr>
        <w:t>房地产拍卖业务板块成交活跃</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sz w:val="28"/>
          <w:szCs w:val="28"/>
        </w:rPr>
        <w:t>3</w:t>
      </w:r>
      <w:r>
        <w:rPr>
          <w:rFonts w:ascii="宋体" w:hAnsi="宋体" w:hint="eastAsia"/>
          <w:sz w:val="28"/>
          <w:szCs w:val="28"/>
        </w:rPr>
        <w:t>季度，房地产和土地使用权拍卖业务占总业务比例超过八成，成交额分别为</w:t>
      </w:r>
      <w:r>
        <w:rPr>
          <w:rFonts w:ascii="宋体" w:hAnsi="宋体"/>
          <w:sz w:val="28"/>
          <w:szCs w:val="28"/>
        </w:rPr>
        <w:t>510.9</w:t>
      </w:r>
      <w:r>
        <w:rPr>
          <w:rFonts w:ascii="宋体" w:hAnsi="宋体" w:hint="eastAsia"/>
          <w:sz w:val="28"/>
          <w:szCs w:val="28"/>
        </w:rPr>
        <w:t>亿元、</w:t>
      </w:r>
      <w:r>
        <w:rPr>
          <w:rFonts w:ascii="宋体" w:hAnsi="宋体"/>
          <w:sz w:val="28"/>
          <w:szCs w:val="28"/>
        </w:rPr>
        <w:t>835.3</w:t>
      </w:r>
      <w:r>
        <w:rPr>
          <w:rFonts w:ascii="宋体" w:hAnsi="宋体" w:hint="eastAsia"/>
          <w:sz w:val="28"/>
          <w:szCs w:val="28"/>
        </w:rPr>
        <w:t>亿元，同比增幅分别为</w:t>
      </w:r>
      <w:r>
        <w:rPr>
          <w:rFonts w:ascii="宋体" w:hAnsi="宋体"/>
          <w:sz w:val="28"/>
          <w:szCs w:val="28"/>
        </w:rPr>
        <w:t>20.4%</w:t>
      </w:r>
      <w:r>
        <w:rPr>
          <w:rFonts w:ascii="宋体" w:hAnsi="宋体" w:hint="eastAsia"/>
          <w:sz w:val="28"/>
          <w:szCs w:val="28"/>
        </w:rPr>
        <w:t>和</w:t>
      </w:r>
      <w:r>
        <w:rPr>
          <w:rFonts w:ascii="宋体" w:hAnsi="宋体"/>
          <w:sz w:val="28"/>
          <w:szCs w:val="28"/>
        </w:rPr>
        <w:t>17.6%</w:t>
      </w:r>
      <w:r>
        <w:rPr>
          <w:rFonts w:ascii="宋体" w:hAnsi="宋体" w:hint="eastAsia"/>
          <w:sz w:val="28"/>
          <w:szCs w:val="28"/>
        </w:rPr>
        <w:t>，环比</w:t>
      </w:r>
      <w:r>
        <w:rPr>
          <w:rFonts w:ascii="宋体" w:hAnsi="宋体"/>
          <w:sz w:val="28"/>
          <w:szCs w:val="28"/>
        </w:rPr>
        <w:t>2</w:t>
      </w:r>
      <w:r>
        <w:rPr>
          <w:rFonts w:ascii="宋体" w:hAnsi="宋体" w:hint="eastAsia"/>
          <w:sz w:val="28"/>
          <w:szCs w:val="28"/>
        </w:rPr>
        <w:t>季度也有一定幅度增长。从成交状况看，两类业务在</w:t>
      </w:r>
      <w:r>
        <w:rPr>
          <w:rFonts w:ascii="宋体" w:hAnsi="宋体"/>
          <w:sz w:val="28"/>
          <w:szCs w:val="28"/>
        </w:rPr>
        <w:t>3</w:t>
      </w:r>
      <w:r>
        <w:rPr>
          <w:rFonts w:ascii="宋体" w:hAnsi="宋体" w:hint="eastAsia"/>
          <w:sz w:val="28"/>
          <w:szCs w:val="28"/>
        </w:rPr>
        <w:t>季度表现得较为稳定。</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sidRPr="00E10793">
        <w:rPr>
          <w:rFonts w:ascii="宋体"/>
          <w:noProof/>
          <w:sz w:val="28"/>
          <w:szCs w:val="28"/>
        </w:rPr>
        <w:pict>
          <v:shape id="图表 1" o:spid="_x0000_i1026" type="#_x0000_t75" style="width:378pt;height:27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JLvr2wAAAAUBAAAPAAAAZHJzL2Rvd25y&#10;ZXYueG1sTI9BS8QwEIXvgv8hjOBF3ERxt0ttukjBg6KgVTzPNmNbbJKaZNv67x296OXB4w3vfVPs&#10;FjuIiULsvdNwsVIgyDXe9K7V8Ppye74FERM6g4N3pOGLIuzK46MCc+Nn90xTnVrBJS7mqKFLacyl&#10;jE1HFuPKj+Q4e/fBYmIbWmkCzlxuB3mp1EZa7B0vdDhS1VHzUR+shoctfqZ01zzWGOa36ey+esqy&#10;SuvTk+XmGkSiJf0dww8+o0PJTHt/cCaKQQM/kn6Vs2y9YbvXsL5SCmRZyP/05TcAAAD//wMAUEsD&#10;BBQABgAIAAAAIQDQYwPRDAEAADYCAAAOAAAAZHJzL2Uyb0RvYy54bWyckU1qwzAQRveF3kHMvpHt&#10;QkhM5GxCoatu2gNMpZEtsCUxUur29lWdUNJVwbv5gcebbw7Hz2kUH8TJBa+g3lQgyOtgnO8VvL0+&#10;PexApIze4Bg8KfiiBMfu/u4wx5aaMITREIsC8amdo4Ih59hKmfRAE6ZNiOTL0gaeMJeWe2kY50Kf&#10;RtlU1VbOgU3koCmlMj1dltAtfGtJ5xdrE2UxFrum3jcgsoJttd+CYAWPu7oYvy8FyO6Abc8YB6ev&#10;SrjCaELni8Av6oQZxZndCpQekHNh6XaprlJ6NekKKIf/n3Ow1mk6BX2eyOdL2Ewj5vLpNLiYSoCt&#10;Mwr42dQ/2ck/F9/2pb59d/c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ro/gbGwEA&#10;AHEBAAAgAAAAZHJzL2NoYXJ0cy9fcmVscy9jaGFydDEueG1sLnJlbHOE0M9Kw0AQBvC74DuEvTeb&#10;NCBakvRihR5EkHrLZd1M/uhmN+yukr5BlT6BChLE4kVPHrQWn6apufUV3ItgQfA4DPP7PsbvVwWz&#10;LkGqXPAAubaDLOBUxDlPA3QyOujsIktpwmPCBIcAjUGhfri95R8DI9ocqSwvlWUUrgKUaV32MFY0&#10;g4IoW5TAzSYRsiDajDLFJaHnJAXcdZwdLH8bKNwwrWEcIDmMXWSNxqVJ/t8WSZJT2Bf0ogCu/4jA&#10;gsHR6RlQbVAiU9ABSnIGpjIe9KLlfNrW0+XbzdfHfftSR13H9Zr312hvdTdZXT+29dN6MfGa54dm&#10;PlsvrqLm9tPruHbFVPXjHYrYVB1UGiQnDOHQxxuPCr8BAAD//wMAUEsDBBQABgAIAAAAIQCgjk42&#10;dAUAAG0SAAAVAAAAZHJzL2NoYXJ0cy9jaGFydDEueG1s7FjNb+NEFL8j8T8Yq9c4/mpsR01WbZdd&#10;Flpabbt74DaxJ4mpY0fjSZv0BFohVYIKDrBCUMQFCY4cuFCx9I+hKUf+Bd582I7T2kRdcUAih2T8&#10;5jdv3ryPn+dl48F0FCnHmKRhEndUQ9NVBcd+EoTxoKM+O3zUcFUlpSgOUJTEuKPOcKo+6L75xobf&#10;9oeI0IMx8rECSuK07XfUIaXjdrOZ+kM8QqmWjHEMc/2EjBCFRzJoBgSdgPJR1DR1vdXkSlSpAN1D&#10;wQiFcbaerLI+6fdDHz9M/MkIx1RYQXCEKHggHYbjVO3C4QJEseHptnKMIvCL2mTCCMUDITgdNrbf&#10;F8KUziIspI6Q8DMxPA1phPlgyr5J6A+7G6jdS4LZPgGNqB2l9ICt5w9jJhnvE/YT4P5TjmnmIi4n&#10;+0RhZnRUYYKCIrrDn3HceHYAwToFc8G1zBTUpt35t79vgA7aZd9CBZso9Mh1uR6pd1mP1TAU+Ji6&#10;YdXrW9WuX3+p17OiXUbDq9ezoj03F2evp0fpoRRHISuS3PmKcnN2Nb/4+fryxz8++nh+8T0bv7r6&#10;88ufbr57cfPp+fz85c3ZF9eXP8w//3r+2cslA3Ac7COCIA9WDzlLFwh1lmwwoDz3IjRLJhRygkmy&#10;tBxHCd0kGInclgBIczjENituJh+QZDKGghUZLqiABDL1MSSU3w6DqZjl5/bbCQkwKUmEDSklT3Gf&#10;reh3D4YYU+Ottc01U2c2cTEAthFQB4OM6XYyialQI+tvTBXYi/mXIY67uXOZhmN+tjFLdL9daBIP&#10;fF8YCkN8xI92lz1ba4bXXnsXvv/ZKk94Ydkqg6fSokHsNMJyQ1pu1mBMibFqMJbE2DUYW2LWazDr&#10;EtOqwbQkxqnBOBLj1mBcifFuYWoCJkMFLMxCHk9GtzJoCzKIRWwhjwCW55F492wnAe4+xjEmKOKB&#10;5W8kLl3Otaqo2rrWKufZ7bA6rmbri5/KFVmQDaul2VVqsygbpqcZVaAszIZtaYa3+KlakQXdAHOd&#10;KlAWdcNer4JkQTdapsbLpSjBwjVZ1E39FgjCXkRKPGR1yuPN0kIwjPzJiUbywQLRSEkt0XAX3oto&#10;lpi77JCa7P2fbhgfF8mQZd5/m24MTjdFNhVJDO+xglhei25My9bMcp4VbszeIobXqgblDONVklDO&#10;L56uVVZ5xi+mY1VvlgXWbFmaW2V2RimmaVTzTkYqpmlWb5eRiuVZy+y5OqmMEDnK7imSPtD0SSBu&#10;HLbp6q5tu+IVX5Z7nmszOWxVuirBu2qTX7bK8EJN6iNYMGAVkZAQug/edIgNR2G8i6ZS7QIQTfeT&#10;VEB6wpgR+jAhh6F/tAsHEDMx9GZikoJ8pxfla2I8pYeJmPNJkqab8q7GDpgdBHo5NoXlPmhCkw8w&#10;kavYk9hFOinqRZvRIBYynxKhHKR7/X6Ksxub6EDARblXgNPvck9hxMKp7+OeaME9j0kYsNikEKaF&#10;C6/g43IfppCEsisl64JhgNFz+GWq/rXuzFjozs6/un51/tdv31xfXs0/eVFqAOqv8uxcIxRPULTD&#10;r/bseboL1xwRFxwMZEbM7hLKJHC1ddd2bdNynda6Z+mm83bDFG6cCT26Zlme48Kk4zmmo3umxeYh&#10;ruXNWS1IO2CYdxhAjY9GVClYsaNKWoRONZkQH++E8REO8hb73slNp6JxXr25LrXKzNlCQUXXxQ6d&#10;9VZiL1k1iwVVlHpNQfGpLUxPMJZF1BMP0rF5nQSHqCf+P0iHyck7CTndun3jYVMsYyum9iaU1UGp&#10;gNmS9/BMVjuvaohZthsMF/tCNn4epntxJDMiw+f/cgDDYBKj6CGiSCHQDXZU8iQowfi/RN2/AQAA&#10;//8DAFBLAQItABQABgAIAAAAIQCk8pWRHAEAAF4CAAATAAAAAAAAAAAAAAAAAAAAAABbQ29udGVu&#10;dF9UeXBlc10ueG1sUEsBAi0AFAAGAAgAAAAhADj9If/WAAAAlAEAAAsAAAAAAAAAAAAAAAAATQEA&#10;AF9yZWxzLy5yZWxzUEsBAi0AFAAGAAgAAAAhABsku+vbAAAABQEAAA8AAAAAAAAAAAAAAAAATAIA&#10;AGRycy9kb3ducmV2LnhtbFBLAQItABQABgAIAAAAIQDQYwPRDAEAADYCAAAOAAAAAAAAAAAAAAAA&#10;AFQDAABkcnMvZTJvRG9jLnhtbFBLAQItABQABgAIAAAAIQCrFs1GuQAAACIBAAAZAAAAAAAAAAAA&#10;AAAAAIwEAABkcnMvX3JlbHMvZTJvRG9jLnhtbC5yZWxzUEsBAi0AFAAGAAgAAAAhAGuj+BsbAQAA&#10;cQEAACAAAAAAAAAAAAAAAAAAfAUAAGRycy9jaGFydHMvX3JlbHMvY2hhcnQxLnhtbC5yZWxzUEsB&#10;Ai0AFAAGAAgAAAAhAKCOTjZ0BQAAbRIAABUAAAAAAAAAAAAAAAAA1QYAAGRycy9jaGFydHMvY2hh&#10;cnQxLnhtbFBLBQYAAAAABwAHAMsBAAB8DAAAAAA=&#10;">
            <v:imagedata r:id="rId8" o:title=""/>
            <o:lock v:ext="edit" aspectratio="f"/>
          </v:shape>
        </w:pic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hint="eastAsia"/>
          <w:sz w:val="28"/>
          <w:szCs w:val="28"/>
        </w:rPr>
        <w:t>受房地产销售市场“金九银十”规律影响，</w:t>
      </w:r>
      <w:r>
        <w:rPr>
          <w:rFonts w:ascii="宋体" w:hAnsi="宋体"/>
          <w:sz w:val="28"/>
          <w:szCs w:val="28"/>
        </w:rPr>
        <w:t>3</w:t>
      </w:r>
      <w:r>
        <w:rPr>
          <w:rFonts w:ascii="宋体" w:hAnsi="宋体" w:hint="eastAsia"/>
          <w:sz w:val="28"/>
          <w:szCs w:val="28"/>
        </w:rPr>
        <w:t>季度各月房地产、土地使用权板块成交额均逐月走高。特别是</w:t>
      </w:r>
      <w:r>
        <w:rPr>
          <w:rFonts w:ascii="宋体" w:hAnsi="宋体"/>
          <w:sz w:val="28"/>
          <w:szCs w:val="28"/>
        </w:rPr>
        <w:t>9</w:t>
      </w:r>
      <w:r>
        <w:rPr>
          <w:rFonts w:ascii="宋体" w:hAnsi="宋体" w:hint="eastAsia"/>
          <w:sz w:val="28"/>
          <w:szCs w:val="28"/>
        </w:rPr>
        <w:t>月，房地产板块成交额突破</w:t>
      </w:r>
      <w:r>
        <w:rPr>
          <w:rFonts w:ascii="宋体" w:hAnsi="宋体"/>
          <w:sz w:val="28"/>
          <w:szCs w:val="28"/>
        </w:rPr>
        <w:t>200</w:t>
      </w:r>
      <w:r>
        <w:rPr>
          <w:rFonts w:ascii="宋体" w:hAnsi="宋体" w:hint="eastAsia"/>
          <w:sz w:val="28"/>
          <w:szCs w:val="28"/>
        </w:rPr>
        <w:t>亿，创年初以来新高，见图</w:t>
      </w:r>
      <w:r>
        <w:rPr>
          <w:rFonts w:ascii="宋体" w:hAnsi="宋体"/>
          <w:sz w:val="28"/>
          <w:szCs w:val="28"/>
        </w:rPr>
        <w:t>3-1</w:t>
      </w:r>
      <w:r>
        <w:rPr>
          <w:rFonts w:ascii="宋体" w:hAnsi="宋体" w:hint="eastAsia"/>
          <w:sz w:val="28"/>
          <w:szCs w:val="28"/>
        </w:rPr>
        <w:t>。</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hint="eastAsia"/>
          <w:sz w:val="28"/>
          <w:szCs w:val="28"/>
        </w:rPr>
        <w:t>受房地产市场带动，</w:t>
      </w:r>
      <w:r>
        <w:rPr>
          <w:rFonts w:ascii="宋体" w:hAnsi="宋体"/>
          <w:sz w:val="28"/>
          <w:szCs w:val="28"/>
        </w:rPr>
        <w:t>9</w:t>
      </w:r>
      <w:r>
        <w:rPr>
          <w:rFonts w:ascii="宋体" w:hAnsi="宋体" w:hint="eastAsia"/>
          <w:sz w:val="28"/>
          <w:szCs w:val="28"/>
        </w:rPr>
        <w:t>月份全国土地使用权拍卖成交活跃，成交额接近</w:t>
      </w:r>
      <w:r>
        <w:rPr>
          <w:rFonts w:ascii="宋体" w:hAnsi="宋体"/>
          <w:sz w:val="28"/>
          <w:szCs w:val="28"/>
        </w:rPr>
        <w:t>400</w:t>
      </w:r>
      <w:r>
        <w:rPr>
          <w:rFonts w:ascii="宋体" w:hAnsi="宋体" w:hint="eastAsia"/>
          <w:sz w:val="28"/>
          <w:szCs w:val="28"/>
        </w:rPr>
        <w:t>亿，各地高价屡有出现。从区域市场状况来看，成交金额较大的三场土地使用权拍卖均出现在浙江省内，三场拍卖累计成交</w:t>
      </w:r>
      <w:r>
        <w:rPr>
          <w:rFonts w:ascii="宋体" w:hAnsi="宋体"/>
          <w:sz w:val="28"/>
          <w:szCs w:val="28"/>
        </w:rPr>
        <w:t>86</w:t>
      </w:r>
      <w:r>
        <w:rPr>
          <w:rFonts w:ascii="宋体" w:hAnsi="宋体" w:hint="eastAsia"/>
          <w:sz w:val="28"/>
          <w:szCs w:val="28"/>
        </w:rPr>
        <w:t>亿元，占该业务板块成交总额的</w:t>
      </w:r>
      <w:r>
        <w:rPr>
          <w:rFonts w:ascii="宋体" w:hAnsi="宋体"/>
          <w:sz w:val="28"/>
          <w:szCs w:val="28"/>
        </w:rPr>
        <w:t>22%</w:t>
      </w:r>
      <w:r>
        <w:rPr>
          <w:rFonts w:ascii="宋体" w:hAnsi="宋体" w:hint="eastAsia"/>
          <w:sz w:val="28"/>
          <w:szCs w:val="28"/>
        </w:rPr>
        <w:t>；而当月交易最为活跃的区域是山东省，其中金额较大的</w:t>
      </w:r>
      <w:r>
        <w:rPr>
          <w:rFonts w:ascii="宋体" w:hAnsi="宋体"/>
          <w:sz w:val="28"/>
          <w:szCs w:val="28"/>
        </w:rPr>
        <w:t>24</w:t>
      </w:r>
      <w:r>
        <w:rPr>
          <w:rFonts w:ascii="宋体" w:hAnsi="宋体" w:hint="eastAsia"/>
          <w:sz w:val="28"/>
          <w:szCs w:val="28"/>
        </w:rPr>
        <w:t>场拍卖，累计成交约</w:t>
      </w:r>
      <w:r>
        <w:rPr>
          <w:rFonts w:ascii="宋体" w:hAnsi="宋体"/>
          <w:sz w:val="28"/>
          <w:szCs w:val="28"/>
        </w:rPr>
        <w:t>62</w:t>
      </w:r>
      <w:r>
        <w:rPr>
          <w:rFonts w:ascii="宋体" w:hAnsi="宋体" w:hint="eastAsia"/>
          <w:sz w:val="28"/>
          <w:szCs w:val="28"/>
        </w:rPr>
        <w:t>亿元，占该业务板块成交总额的比例接近</w:t>
      </w:r>
      <w:r>
        <w:rPr>
          <w:rFonts w:ascii="宋体" w:hAnsi="宋体"/>
          <w:sz w:val="28"/>
          <w:szCs w:val="28"/>
        </w:rPr>
        <w:t>16%</w:t>
      </w:r>
      <w:r>
        <w:rPr>
          <w:rFonts w:ascii="宋体" w:hAnsi="宋体" w:hint="eastAsia"/>
          <w:sz w:val="28"/>
          <w:szCs w:val="28"/>
        </w:rPr>
        <w:t>。</w:t>
      </w:r>
    </w:p>
    <w:p w:rsidR="00F14FA8" w:rsidRPr="0068156E"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hint="eastAsia"/>
          <w:sz w:val="28"/>
          <w:szCs w:val="28"/>
        </w:rPr>
        <w:t>但是，市场扩大并未带来收入同步增长，激烈的市场竞争下行业佣金水平持续下降。从</w:t>
      </w:r>
      <w:r>
        <w:rPr>
          <w:rFonts w:ascii="宋体" w:hAnsi="宋体"/>
          <w:sz w:val="28"/>
          <w:szCs w:val="28"/>
        </w:rPr>
        <w:t>3</w:t>
      </w:r>
      <w:r>
        <w:rPr>
          <w:rFonts w:ascii="宋体" w:hAnsi="宋体" w:hint="eastAsia"/>
          <w:sz w:val="28"/>
          <w:szCs w:val="28"/>
        </w:rPr>
        <w:t>季度的佣金收取情况看，房地产方面</w:t>
      </w:r>
      <w:r>
        <w:rPr>
          <w:rFonts w:ascii="宋体" w:hAnsi="宋体"/>
          <w:sz w:val="28"/>
          <w:szCs w:val="28"/>
        </w:rPr>
        <w:t>7103</w:t>
      </w:r>
      <w:r>
        <w:rPr>
          <w:rFonts w:ascii="宋体" w:hAnsi="宋体" w:hint="eastAsia"/>
          <w:sz w:val="28"/>
          <w:szCs w:val="28"/>
        </w:rPr>
        <w:t>个成交场次的佣金收取比例为</w:t>
      </w:r>
      <w:r>
        <w:rPr>
          <w:rFonts w:ascii="宋体" w:hAnsi="宋体"/>
          <w:sz w:val="28"/>
          <w:szCs w:val="28"/>
        </w:rPr>
        <w:t>1.7%</w:t>
      </w:r>
      <w:r>
        <w:rPr>
          <w:rFonts w:ascii="宋体" w:hAnsi="宋体" w:hint="eastAsia"/>
          <w:sz w:val="28"/>
          <w:szCs w:val="28"/>
        </w:rPr>
        <w:t>，土地使用权方面</w:t>
      </w:r>
      <w:r>
        <w:rPr>
          <w:rFonts w:ascii="宋体" w:hAnsi="宋体"/>
          <w:sz w:val="28"/>
          <w:szCs w:val="28"/>
        </w:rPr>
        <w:t>1131</w:t>
      </w:r>
      <w:r>
        <w:rPr>
          <w:rFonts w:ascii="宋体" w:hAnsi="宋体" w:hint="eastAsia"/>
          <w:sz w:val="28"/>
          <w:szCs w:val="28"/>
        </w:rPr>
        <w:t>个成交场次的佣金收取比例仅为</w:t>
      </w:r>
      <w:r>
        <w:rPr>
          <w:rFonts w:ascii="宋体" w:hAnsi="宋体"/>
          <w:sz w:val="28"/>
          <w:szCs w:val="28"/>
        </w:rPr>
        <w:t>0.35%</w:t>
      </w:r>
      <w:r>
        <w:rPr>
          <w:rFonts w:ascii="宋体" w:hAnsi="宋体" w:hint="eastAsia"/>
          <w:sz w:val="28"/>
          <w:szCs w:val="28"/>
        </w:rPr>
        <w:t>，两项业务佣金率都低于</w:t>
      </w:r>
      <w:r>
        <w:rPr>
          <w:rFonts w:ascii="宋体" w:hAnsi="宋体"/>
          <w:sz w:val="28"/>
          <w:szCs w:val="28"/>
        </w:rPr>
        <w:t>2012</w:t>
      </w:r>
      <w:r>
        <w:rPr>
          <w:rFonts w:ascii="宋体" w:hAnsi="宋体" w:hint="eastAsia"/>
          <w:sz w:val="28"/>
          <w:szCs w:val="28"/>
        </w:rPr>
        <w:t>年平均水平。</w:t>
      </w:r>
    </w:p>
    <w:p w:rsidR="00F14FA8" w:rsidRDefault="00F14FA8" w:rsidP="00750D2E">
      <w:pPr>
        <w:pStyle w:val="ListParagraph"/>
        <w:spacing w:before="100" w:beforeAutospacing="1" w:after="100" w:afterAutospacing="1" w:line="360" w:lineRule="auto"/>
        <w:ind w:firstLine="31680"/>
        <w:rPr>
          <w:rFonts w:ascii="黑体" w:eastAsia="黑体"/>
          <w:sz w:val="28"/>
          <w:szCs w:val="28"/>
        </w:rPr>
      </w:pPr>
      <w:r>
        <w:rPr>
          <w:rFonts w:ascii="黑体" w:eastAsia="黑体"/>
          <w:sz w:val="28"/>
          <w:szCs w:val="28"/>
        </w:rPr>
        <w:t>2</w:t>
      </w:r>
      <w:r>
        <w:rPr>
          <w:rFonts w:ascii="黑体" w:eastAsia="黑体" w:hint="eastAsia"/>
          <w:sz w:val="28"/>
          <w:szCs w:val="28"/>
        </w:rPr>
        <w:t>．机动车和农产品拍卖业务比例增大</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sz w:val="28"/>
          <w:szCs w:val="28"/>
        </w:rPr>
        <w:t>3</w:t>
      </w:r>
      <w:r>
        <w:rPr>
          <w:rFonts w:ascii="宋体" w:hAnsi="宋体" w:hint="eastAsia"/>
          <w:sz w:val="28"/>
          <w:szCs w:val="28"/>
        </w:rPr>
        <w:t>季度，机动车拍卖业务成交</w:t>
      </w:r>
      <w:r>
        <w:rPr>
          <w:rFonts w:ascii="宋体" w:hAnsi="宋体"/>
          <w:sz w:val="28"/>
          <w:szCs w:val="28"/>
        </w:rPr>
        <w:t>15.4</w:t>
      </w:r>
      <w:r>
        <w:rPr>
          <w:rFonts w:ascii="宋体" w:hAnsi="宋体" w:hint="eastAsia"/>
          <w:sz w:val="28"/>
          <w:szCs w:val="28"/>
        </w:rPr>
        <w:t>亿元，同比增加</w:t>
      </w:r>
      <w:r>
        <w:rPr>
          <w:rFonts w:ascii="宋体" w:hAnsi="宋体"/>
          <w:sz w:val="28"/>
          <w:szCs w:val="28"/>
        </w:rPr>
        <w:t>23.9%</w:t>
      </w:r>
      <w:r>
        <w:rPr>
          <w:rFonts w:ascii="宋体" w:hAnsi="宋体" w:hint="eastAsia"/>
          <w:sz w:val="28"/>
          <w:szCs w:val="28"/>
        </w:rPr>
        <w:t>，农产品拍卖业务成交</w:t>
      </w:r>
      <w:r>
        <w:rPr>
          <w:rFonts w:ascii="宋体" w:hAnsi="宋体"/>
          <w:sz w:val="28"/>
          <w:szCs w:val="28"/>
        </w:rPr>
        <w:t>7.23</w:t>
      </w:r>
      <w:r>
        <w:rPr>
          <w:rFonts w:ascii="宋体" w:hAnsi="宋体" w:hint="eastAsia"/>
          <w:sz w:val="28"/>
          <w:szCs w:val="28"/>
        </w:rPr>
        <w:t>亿元，同比增加</w:t>
      </w:r>
      <w:r>
        <w:rPr>
          <w:rFonts w:ascii="宋体" w:hAnsi="宋体"/>
          <w:sz w:val="28"/>
          <w:szCs w:val="28"/>
        </w:rPr>
        <w:t>26%</w:t>
      </w:r>
      <w:r>
        <w:rPr>
          <w:rFonts w:ascii="宋体" w:hAnsi="宋体" w:hint="eastAsia"/>
          <w:sz w:val="28"/>
          <w:szCs w:val="28"/>
        </w:rPr>
        <w:t>，两项业务占总业务比例接近</w:t>
      </w:r>
      <w:r>
        <w:rPr>
          <w:rFonts w:ascii="宋体" w:hAnsi="宋体"/>
          <w:sz w:val="28"/>
          <w:szCs w:val="28"/>
        </w:rPr>
        <w:t>1.4%</w:t>
      </w:r>
      <w:r>
        <w:rPr>
          <w:rFonts w:ascii="宋体" w:hAnsi="宋体" w:hint="eastAsia"/>
          <w:sz w:val="28"/>
          <w:szCs w:val="28"/>
        </w:rPr>
        <w:t>，份额较</w:t>
      </w:r>
      <w:r>
        <w:rPr>
          <w:rFonts w:ascii="宋体" w:hAnsi="宋体"/>
          <w:sz w:val="28"/>
          <w:szCs w:val="28"/>
        </w:rPr>
        <w:t>2012</w:t>
      </w:r>
      <w:r>
        <w:rPr>
          <w:rFonts w:ascii="宋体" w:hAnsi="宋体" w:hint="eastAsia"/>
          <w:sz w:val="28"/>
          <w:szCs w:val="28"/>
        </w:rPr>
        <w:t>年高出</w:t>
      </w:r>
      <w:r>
        <w:rPr>
          <w:rFonts w:ascii="宋体" w:hAnsi="宋体"/>
          <w:sz w:val="28"/>
          <w:szCs w:val="28"/>
        </w:rPr>
        <w:t>0.2</w:t>
      </w:r>
      <w:r>
        <w:rPr>
          <w:rFonts w:ascii="宋体" w:hAnsi="宋体" w:hint="eastAsia"/>
          <w:sz w:val="28"/>
          <w:szCs w:val="28"/>
        </w:rPr>
        <w:t>个百分点。近几年的数据显示，机动车和农产品拍卖业务的成交额没有出现大起大落，在较长的时期内能够保持稳定向上的发展态势，说明随着行业经营结构调整，以市场化为主导的机动车和农产品拍卖业务将拥有不可小觑的发展潜力。</w:t>
      </w:r>
    </w:p>
    <w:p w:rsidR="00F14FA8" w:rsidRPr="00A13126" w:rsidRDefault="00F14FA8" w:rsidP="00750D2E">
      <w:pPr>
        <w:snapToGrid w:val="0"/>
        <w:spacing w:before="100" w:beforeAutospacing="1" w:after="100" w:afterAutospacing="1" w:line="360" w:lineRule="auto"/>
        <w:ind w:firstLineChars="200" w:firstLine="31680"/>
        <w:rPr>
          <w:rFonts w:ascii="宋体"/>
          <w:sz w:val="28"/>
          <w:szCs w:val="28"/>
        </w:rPr>
      </w:pPr>
      <w:r>
        <w:rPr>
          <w:rFonts w:ascii="宋体" w:hAnsi="宋体" w:hint="eastAsia"/>
          <w:sz w:val="28"/>
          <w:szCs w:val="28"/>
        </w:rPr>
        <w:t>实际上，作为</w:t>
      </w:r>
      <w:r w:rsidRPr="00A13126">
        <w:rPr>
          <w:rFonts w:ascii="宋体" w:hAnsi="宋体" w:hint="eastAsia"/>
          <w:sz w:val="28"/>
          <w:szCs w:val="28"/>
        </w:rPr>
        <w:t>近年来行业市场化、专业化发展的重点</w:t>
      </w:r>
      <w:r>
        <w:rPr>
          <w:rFonts w:ascii="宋体" w:hAnsi="宋体" w:hint="eastAsia"/>
          <w:sz w:val="28"/>
          <w:szCs w:val="28"/>
        </w:rPr>
        <w:t>，今年以来，在</w:t>
      </w:r>
      <w:r w:rsidRPr="00A13126">
        <w:rPr>
          <w:rFonts w:ascii="宋体" w:hAnsi="宋体" w:hint="eastAsia"/>
          <w:sz w:val="28"/>
          <w:szCs w:val="28"/>
        </w:rPr>
        <w:t>机动车和农产品拍卖</w:t>
      </w:r>
      <w:r>
        <w:rPr>
          <w:rFonts w:ascii="宋体" w:hAnsi="宋体" w:hint="eastAsia"/>
          <w:sz w:val="28"/>
          <w:szCs w:val="28"/>
        </w:rPr>
        <w:t>的新业务</w:t>
      </w:r>
      <w:r w:rsidRPr="00A13126">
        <w:rPr>
          <w:rFonts w:ascii="宋体" w:hAnsi="宋体" w:hint="eastAsia"/>
          <w:sz w:val="28"/>
          <w:szCs w:val="28"/>
        </w:rPr>
        <w:t>拓展</w:t>
      </w:r>
      <w:r>
        <w:rPr>
          <w:rFonts w:ascii="宋体" w:hAnsi="宋体" w:hint="eastAsia"/>
          <w:sz w:val="28"/>
          <w:szCs w:val="28"/>
        </w:rPr>
        <w:t>中，协会、企业层面都做了不少的努力。</w:t>
      </w:r>
      <w:r w:rsidRPr="00A13126">
        <w:rPr>
          <w:rFonts w:ascii="宋体" w:hAnsi="宋体" w:hint="eastAsia"/>
          <w:sz w:val="28"/>
          <w:szCs w:val="28"/>
        </w:rPr>
        <w:t>年初以来，中拍协集中力量，整合资源，着重对农产品拍卖、二手车拍卖业务进行了深入调研与积极的推动。目前，两方面工作均进展顺利</w:t>
      </w:r>
      <w:r>
        <w:rPr>
          <w:rFonts w:ascii="宋体" w:hAnsi="宋体" w:hint="eastAsia"/>
          <w:sz w:val="28"/>
          <w:szCs w:val="28"/>
        </w:rPr>
        <w:t>。农产品方面，</w:t>
      </w:r>
      <w:r w:rsidRPr="00A13126">
        <w:rPr>
          <w:rFonts w:ascii="宋体" w:hAnsi="宋体" w:hint="eastAsia"/>
          <w:sz w:val="28"/>
          <w:szCs w:val="28"/>
        </w:rPr>
        <w:t>在充分调研的基础上，</w:t>
      </w:r>
      <w:r>
        <w:rPr>
          <w:rFonts w:ascii="宋体" w:hAnsi="宋体" w:hint="eastAsia"/>
          <w:sz w:val="28"/>
          <w:szCs w:val="28"/>
        </w:rPr>
        <w:t>确定了首家茶叶拍卖试点企业，</w:t>
      </w:r>
      <w:r w:rsidRPr="00A13126">
        <w:rPr>
          <w:rFonts w:ascii="宋体" w:hAnsi="宋体" w:hint="eastAsia"/>
          <w:sz w:val="28"/>
          <w:szCs w:val="28"/>
        </w:rPr>
        <w:t>将于</w:t>
      </w:r>
      <w:r w:rsidRPr="00A13126">
        <w:rPr>
          <w:rFonts w:ascii="宋体" w:hAnsi="宋体"/>
          <w:sz w:val="28"/>
          <w:szCs w:val="28"/>
        </w:rPr>
        <w:t>11</w:t>
      </w:r>
      <w:r w:rsidRPr="00A13126">
        <w:rPr>
          <w:rFonts w:ascii="宋体" w:hAnsi="宋体" w:hint="eastAsia"/>
          <w:sz w:val="28"/>
          <w:szCs w:val="28"/>
        </w:rPr>
        <w:t>月中旬在武夷山举行首拍</w:t>
      </w:r>
      <w:r>
        <w:rPr>
          <w:rFonts w:ascii="宋体" w:hAnsi="宋体" w:hint="eastAsia"/>
          <w:sz w:val="28"/>
          <w:szCs w:val="28"/>
        </w:rPr>
        <w:t>。</w:t>
      </w:r>
      <w:r w:rsidRPr="00A13126">
        <w:rPr>
          <w:rFonts w:ascii="宋体" w:hAnsi="宋体"/>
          <w:sz w:val="28"/>
          <w:szCs w:val="28"/>
        </w:rPr>
        <w:t>9</w:t>
      </w:r>
      <w:r w:rsidRPr="00A13126">
        <w:rPr>
          <w:rFonts w:ascii="宋体" w:hAnsi="宋体" w:hint="eastAsia"/>
          <w:sz w:val="28"/>
          <w:szCs w:val="28"/>
        </w:rPr>
        <w:t>月份</w:t>
      </w:r>
      <w:r>
        <w:rPr>
          <w:rFonts w:ascii="宋体" w:hAnsi="宋体" w:hint="eastAsia"/>
          <w:sz w:val="28"/>
          <w:szCs w:val="28"/>
        </w:rPr>
        <w:t>，</w:t>
      </w:r>
      <w:r w:rsidRPr="00A13126">
        <w:rPr>
          <w:rFonts w:ascii="宋体" w:hAnsi="宋体" w:hint="eastAsia"/>
          <w:sz w:val="28"/>
          <w:szCs w:val="28"/>
        </w:rPr>
        <w:t>浙江湖州</w:t>
      </w:r>
      <w:r>
        <w:rPr>
          <w:rFonts w:ascii="宋体" w:hAnsi="宋体" w:hint="eastAsia"/>
          <w:sz w:val="28"/>
          <w:szCs w:val="28"/>
        </w:rPr>
        <w:t>还</w:t>
      </w:r>
      <w:r w:rsidRPr="00A13126">
        <w:rPr>
          <w:rFonts w:ascii="宋体" w:hAnsi="宋体" w:hint="eastAsia"/>
          <w:sz w:val="28"/>
          <w:szCs w:val="28"/>
        </w:rPr>
        <w:t>首次尝试太湖蟹拍卖</w:t>
      </w:r>
      <w:r>
        <w:rPr>
          <w:rFonts w:ascii="宋体" w:hAnsi="宋体" w:hint="eastAsia"/>
          <w:sz w:val="28"/>
          <w:szCs w:val="28"/>
        </w:rPr>
        <w:t>并取得</w:t>
      </w:r>
      <w:r w:rsidRPr="00A13126">
        <w:rPr>
          <w:rFonts w:ascii="宋体" w:hAnsi="宋体" w:hint="eastAsia"/>
          <w:sz w:val="28"/>
          <w:szCs w:val="28"/>
        </w:rPr>
        <w:t>成功，为后续试点工作积累了宝贵经验。还有福建东山保税仓的水产拍卖试点，也已进入</w:t>
      </w:r>
      <w:r>
        <w:rPr>
          <w:rFonts w:ascii="宋体" w:hAnsi="宋体" w:hint="eastAsia"/>
          <w:sz w:val="28"/>
          <w:szCs w:val="28"/>
        </w:rPr>
        <w:t>同</w:t>
      </w:r>
      <w:r w:rsidRPr="00A13126">
        <w:rPr>
          <w:rFonts w:ascii="宋体" w:hAnsi="宋体" w:hint="eastAsia"/>
          <w:sz w:val="28"/>
          <w:szCs w:val="28"/>
        </w:rPr>
        <w:t>日本冲绳县商工劳动部展开技术交流</w:t>
      </w:r>
      <w:r>
        <w:rPr>
          <w:rFonts w:ascii="宋体" w:hAnsi="宋体" w:hint="eastAsia"/>
          <w:sz w:val="28"/>
          <w:szCs w:val="28"/>
        </w:rPr>
        <w:t>的</w:t>
      </w:r>
      <w:r w:rsidRPr="00A13126">
        <w:rPr>
          <w:rFonts w:ascii="宋体" w:hAnsi="宋体" w:hint="eastAsia"/>
          <w:sz w:val="28"/>
          <w:szCs w:val="28"/>
        </w:rPr>
        <w:t>阶段。</w:t>
      </w:r>
    </w:p>
    <w:p w:rsidR="00F14FA8" w:rsidRPr="00A13126" w:rsidRDefault="00F14FA8" w:rsidP="00750D2E">
      <w:pPr>
        <w:snapToGrid w:val="0"/>
        <w:spacing w:before="100" w:beforeAutospacing="1" w:after="100" w:afterAutospacing="1" w:line="360" w:lineRule="auto"/>
        <w:ind w:firstLineChars="200" w:firstLine="31680"/>
        <w:rPr>
          <w:rFonts w:ascii="宋体"/>
          <w:kern w:val="0"/>
          <w:sz w:val="28"/>
          <w:szCs w:val="28"/>
        </w:rPr>
      </w:pPr>
      <w:r w:rsidRPr="00A13126">
        <w:rPr>
          <w:rFonts w:ascii="宋体" w:hAnsi="宋体" w:hint="eastAsia"/>
          <w:sz w:val="28"/>
          <w:szCs w:val="28"/>
        </w:rPr>
        <w:t>机动车拍卖方面，在中拍协组织的</w:t>
      </w:r>
      <w:r w:rsidRPr="00A13126">
        <w:rPr>
          <w:rFonts w:ascii="宋体" w:hAnsi="宋体" w:hint="eastAsia"/>
          <w:kern w:val="0"/>
          <w:sz w:val="28"/>
          <w:szCs w:val="28"/>
        </w:rPr>
        <w:t>首届全国机动车拍卖研讨会召开之后，“创新与发展”已成为机动车拍卖业务深入进行探索的主</w:t>
      </w:r>
      <w:r>
        <w:rPr>
          <w:rFonts w:ascii="宋体" w:hAnsi="宋体" w:hint="eastAsia"/>
          <w:kern w:val="0"/>
          <w:sz w:val="28"/>
          <w:szCs w:val="28"/>
        </w:rPr>
        <w:t>题</w:t>
      </w:r>
      <w:r w:rsidRPr="00A13126">
        <w:rPr>
          <w:rFonts w:ascii="宋体" w:hAnsi="宋体" w:hint="eastAsia"/>
          <w:kern w:val="0"/>
          <w:sz w:val="28"/>
          <w:szCs w:val="28"/>
        </w:rPr>
        <w:t>。</w:t>
      </w:r>
      <w:r w:rsidRPr="00A13126">
        <w:rPr>
          <w:rFonts w:ascii="宋体" w:hAnsi="宋体"/>
          <w:kern w:val="0"/>
          <w:sz w:val="28"/>
          <w:szCs w:val="28"/>
        </w:rPr>
        <w:t>9</w:t>
      </w:r>
      <w:r w:rsidRPr="00A13126">
        <w:rPr>
          <w:rFonts w:ascii="宋体" w:hAnsi="宋体" w:hint="eastAsia"/>
          <w:kern w:val="0"/>
          <w:sz w:val="28"/>
          <w:szCs w:val="28"/>
        </w:rPr>
        <w:t>月，中拍协组织国内主要从事机动车专业化拍卖的企业，专程赴</w:t>
      </w:r>
      <w:r>
        <w:rPr>
          <w:rFonts w:ascii="宋体" w:hAnsi="宋体" w:hint="eastAsia"/>
          <w:kern w:val="0"/>
          <w:sz w:val="28"/>
          <w:szCs w:val="28"/>
        </w:rPr>
        <w:t>北美</w:t>
      </w:r>
      <w:r w:rsidRPr="00A13126">
        <w:rPr>
          <w:rFonts w:ascii="宋体" w:hAnsi="宋体" w:hint="eastAsia"/>
          <w:kern w:val="0"/>
          <w:sz w:val="28"/>
          <w:szCs w:val="28"/>
        </w:rPr>
        <w:t>考察机动车拍卖，效果非常好</w:t>
      </w:r>
      <w:r>
        <w:rPr>
          <w:rFonts w:ascii="宋体" w:hAnsi="宋体" w:hint="eastAsia"/>
          <w:kern w:val="0"/>
          <w:sz w:val="28"/>
          <w:szCs w:val="28"/>
        </w:rPr>
        <w:t>。</w:t>
      </w:r>
      <w:r w:rsidRPr="00A13126">
        <w:rPr>
          <w:rFonts w:ascii="宋体" w:hAnsi="宋体" w:hint="eastAsia"/>
          <w:kern w:val="0"/>
          <w:sz w:val="28"/>
          <w:szCs w:val="28"/>
        </w:rPr>
        <w:t>伴随着</w:t>
      </w:r>
      <w:r w:rsidRPr="00A13126">
        <w:rPr>
          <w:rFonts w:ascii="宋体" w:hAnsi="宋体"/>
          <w:kern w:val="0"/>
          <w:sz w:val="28"/>
          <w:szCs w:val="28"/>
        </w:rPr>
        <w:t>10</w:t>
      </w:r>
      <w:r w:rsidRPr="00A13126">
        <w:rPr>
          <w:rFonts w:ascii="宋体" w:hAnsi="宋体" w:hint="eastAsia"/>
          <w:kern w:val="0"/>
          <w:sz w:val="28"/>
          <w:szCs w:val="28"/>
        </w:rPr>
        <w:t>月中旬中拍协机动车拍卖专业委员会的成立，我国机动车拍卖将</w:t>
      </w:r>
      <w:r>
        <w:rPr>
          <w:rFonts w:ascii="宋体" w:hAnsi="宋体" w:hint="eastAsia"/>
          <w:kern w:val="0"/>
          <w:sz w:val="28"/>
          <w:szCs w:val="28"/>
        </w:rPr>
        <w:t>迎来</w:t>
      </w:r>
      <w:r w:rsidRPr="00A13126">
        <w:rPr>
          <w:rFonts w:ascii="宋体" w:hAnsi="宋体" w:hint="eastAsia"/>
          <w:kern w:val="0"/>
          <w:sz w:val="28"/>
          <w:szCs w:val="28"/>
        </w:rPr>
        <w:t>一个快速发展的新时期。</w:t>
      </w:r>
    </w:p>
    <w:p w:rsidR="00F14FA8" w:rsidRDefault="00F14FA8" w:rsidP="00750D2E">
      <w:pPr>
        <w:pStyle w:val="ListParagraph"/>
        <w:spacing w:before="100" w:beforeAutospacing="1" w:after="100" w:afterAutospacing="1" w:line="360" w:lineRule="auto"/>
        <w:ind w:firstLine="31680"/>
        <w:rPr>
          <w:rFonts w:ascii="黑体" w:eastAsia="黑体"/>
          <w:sz w:val="28"/>
          <w:szCs w:val="28"/>
        </w:rPr>
      </w:pPr>
      <w:r>
        <w:rPr>
          <w:rFonts w:ascii="黑体" w:eastAsia="黑体"/>
          <w:sz w:val="28"/>
          <w:szCs w:val="28"/>
        </w:rPr>
        <w:t>3.</w:t>
      </w:r>
      <w:r>
        <w:rPr>
          <w:rFonts w:ascii="黑体" w:eastAsia="黑体" w:hint="eastAsia"/>
          <w:sz w:val="28"/>
          <w:szCs w:val="28"/>
        </w:rPr>
        <w:t>文物艺术品拍卖调整步调趋稳</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sz w:val="28"/>
          <w:szCs w:val="28"/>
        </w:rPr>
        <w:t>3</w:t>
      </w:r>
      <w:r>
        <w:rPr>
          <w:rFonts w:ascii="宋体" w:hAnsi="宋体" w:hint="eastAsia"/>
          <w:sz w:val="28"/>
          <w:szCs w:val="28"/>
        </w:rPr>
        <w:t>季度，文物艺术品拍卖业务延续上半年的回调态势，成交额</w:t>
      </w:r>
      <w:r>
        <w:rPr>
          <w:rFonts w:ascii="宋体" w:hAnsi="宋体"/>
          <w:sz w:val="28"/>
          <w:szCs w:val="28"/>
        </w:rPr>
        <w:t>44</w:t>
      </w:r>
      <w:r>
        <w:rPr>
          <w:rFonts w:ascii="宋体" w:hAnsi="宋体" w:hint="eastAsia"/>
          <w:sz w:val="28"/>
          <w:szCs w:val="28"/>
        </w:rPr>
        <w:t>亿元，同比微跌</w:t>
      </w:r>
      <w:r>
        <w:rPr>
          <w:rFonts w:ascii="宋体" w:hAnsi="宋体"/>
          <w:sz w:val="28"/>
          <w:szCs w:val="28"/>
        </w:rPr>
        <w:t>2.5</w:t>
      </w:r>
      <w:r>
        <w:rPr>
          <w:rFonts w:ascii="宋体" w:hAnsi="宋体" w:hint="eastAsia"/>
          <w:sz w:val="28"/>
          <w:szCs w:val="28"/>
        </w:rPr>
        <w:t>亿元。从前三季度整体情况看，</w:t>
      </w:r>
      <w:r>
        <w:rPr>
          <w:rFonts w:ascii="宋体" w:hAnsi="宋体"/>
          <w:sz w:val="28"/>
          <w:szCs w:val="28"/>
        </w:rPr>
        <w:t>169</w:t>
      </w:r>
      <w:r>
        <w:rPr>
          <w:rFonts w:ascii="宋体" w:hAnsi="宋体" w:hint="eastAsia"/>
          <w:sz w:val="28"/>
          <w:szCs w:val="28"/>
        </w:rPr>
        <w:t>亿元的成交总额较去年同期减少</w:t>
      </w:r>
      <w:r>
        <w:rPr>
          <w:rFonts w:ascii="宋体" w:hAnsi="宋体"/>
          <w:sz w:val="28"/>
          <w:szCs w:val="28"/>
        </w:rPr>
        <w:t>14</w:t>
      </w:r>
      <w:r>
        <w:rPr>
          <w:rFonts w:ascii="宋体" w:hAnsi="宋体" w:hint="eastAsia"/>
          <w:sz w:val="28"/>
          <w:szCs w:val="28"/>
        </w:rPr>
        <w:t>亿元，降幅</w:t>
      </w:r>
      <w:r>
        <w:rPr>
          <w:rFonts w:ascii="宋体" w:hAnsi="宋体"/>
          <w:sz w:val="28"/>
          <w:szCs w:val="28"/>
        </w:rPr>
        <w:t>7.9%</w:t>
      </w:r>
      <w:r>
        <w:rPr>
          <w:rFonts w:ascii="宋体" w:hAnsi="宋体" w:hint="eastAsia"/>
          <w:sz w:val="28"/>
          <w:szCs w:val="28"/>
        </w:rPr>
        <w:t>，较上半年（</w:t>
      </w:r>
      <w:r>
        <w:rPr>
          <w:rFonts w:ascii="宋体" w:hAnsi="宋体"/>
          <w:sz w:val="28"/>
          <w:szCs w:val="28"/>
        </w:rPr>
        <w:t>-8.82%</w:t>
      </w:r>
      <w:r>
        <w:rPr>
          <w:rFonts w:ascii="宋体" w:hAnsi="宋体" w:hint="eastAsia"/>
          <w:sz w:val="28"/>
          <w:szCs w:val="28"/>
        </w:rPr>
        <w:t>）有所收窄。结合上半年“春拍”的情况看，文物艺术品拍卖市场的调整步调已逐步趋稳。</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hint="eastAsia"/>
          <w:sz w:val="28"/>
          <w:szCs w:val="28"/>
        </w:rPr>
        <w:t>预计，接下来的文物艺术品秋拍仍将继续盘整，成交状况会相对平稳。对于拍卖企业来说，随着市场中的资本流出和优秀精品标的的流动性下降，拍品征集的难度会越来越大。</w:t>
      </w:r>
      <w:r>
        <w:rPr>
          <w:rFonts w:ascii="宋体" w:hAnsi="宋体"/>
          <w:sz w:val="28"/>
          <w:szCs w:val="28"/>
        </w:rPr>
        <w:t>4</w:t>
      </w:r>
      <w:r>
        <w:rPr>
          <w:rFonts w:ascii="宋体" w:hAnsi="宋体" w:hint="eastAsia"/>
          <w:sz w:val="28"/>
          <w:szCs w:val="28"/>
        </w:rPr>
        <w:t>季度，文物艺术品拍卖板块的成交状况将主要取决于，一是有分量的拍品数量和价格能否保持乐观增长；二是拍卖公司在争取客户、拍品营销、推广和专场设计等方面付出的努力能否得到市场的认同。</w:t>
      </w:r>
    </w:p>
    <w:p w:rsidR="00F14FA8" w:rsidRPr="00A13126" w:rsidRDefault="00F14FA8" w:rsidP="00750D2E">
      <w:pPr>
        <w:spacing w:before="100" w:beforeAutospacing="1" w:after="100" w:afterAutospacing="1" w:line="360" w:lineRule="auto"/>
        <w:rPr>
          <w:rFonts w:ascii="宋体"/>
          <w:sz w:val="28"/>
          <w:szCs w:val="28"/>
        </w:rPr>
      </w:pPr>
    </w:p>
    <w:p w:rsidR="00F14FA8" w:rsidRPr="006C446B" w:rsidRDefault="00F14FA8" w:rsidP="00750D2E">
      <w:pPr>
        <w:pStyle w:val="ListParagraph"/>
        <w:spacing w:before="100" w:beforeAutospacing="1" w:after="100" w:afterAutospacing="1" w:line="360" w:lineRule="auto"/>
        <w:ind w:firstLine="31680"/>
        <w:rPr>
          <w:rFonts w:ascii="黑体" w:eastAsia="黑体" w:hAnsi="宋体"/>
          <w:sz w:val="28"/>
          <w:szCs w:val="28"/>
        </w:rPr>
      </w:pPr>
      <w:r w:rsidRPr="006C446B">
        <w:rPr>
          <w:rFonts w:ascii="黑体" w:eastAsia="黑体" w:hAnsi="宋体" w:hint="eastAsia"/>
          <w:sz w:val="28"/>
          <w:szCs w:val="28"/>
        </w:rPr>
        <w:t>（二）</w:t>
      </w:r>
      <w:r>
        <w:rPr>
          <w:rFonts w:ascii="黑体" w:eastAsia="黑体" w:hAnsi="宋体" w:hint="eastAsia"/>
          <w:sz w:val="28"/>
          <w:szCs w:val="28"/>
        </w:rPr>
        <w:t>委托结构</w:t>
      </w:r>
      <w:r w:rsidRPr="006C446B">
        <w:rPr>
          <w:rFonts w:ascii="黑体" w:eastAsia="黑体" w:hAnsi="宋体" w:hint="eastAsia"/>
          <w:sz w:val="28"/>
          <w:szCs w:val="28"/>
        </w:rPr>
        <w:t>特点</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sz w:val="28"/>
          <w:szCs w:val="28"/>
        </w:rPr>
        <w:t>3</w:t>
      </w:r>
      <w:r>
        <w:rPr>
          <w:rFonts w:ascii="宋体" w:hAnsi="宋体" w:hint="eastAsia"/>
          <w:sz w:val="28"/>
          <w:szCs w:val="28"/>
        </w:rPr>
        <w:t>季度，全国拍卖业务的委托结构基本稳定。法院和政府部门委托业务继续在总成交额中保持七成的份额，分别成交</w:t>
      </w:r>
      <w:r>
        <w:rPr>
          <w:rFonts w:ascii="宋体" w:hAnsi="宋体"/>
          <w:sz w:val="28"/>
          <w:szCs w:val="28"/>
        </w:rPr>
        <w:t>327</w:t>
      </w:r>
      <w:r>
        <w:rPr>
          <w:rFonts w:ascii="宋体" w:hAnsi="宋体" w:hint="eastAsia"/>
          <w:sz w:val="28"/>
          <w:szCs w:val="28"/>
        </w:rPr>
        <w:t>亿元和</w:t>
      </w:r>
      <w:r>
        <w:rPr>
          <w:rFonts w:ascii="宋体" w:hAnsi="宋体"/>
          <w:sz w:val="28"/>
          <w:szCs w:val="28"/>
        </w:rPr>
        <w:t>876.27</w:t>
      </w:r>
      <w:r>
        <w:rPr>
          <w:rFonts w:ascii="宋体" w:hAnsi="宋体" w:hint="eastAsia"/>
          <w:sz w:val="28"/>
          <w:szCs w:val="28"/>
        </w:rPr>
        <w:t>亿；因受文物艺术品拍卖市场调整的影响，个人委托业务环比减少</w:t>
      </w:r>
      <w:r>
        <w:rPr>
          <w:rFonts w:ascii="宋体" w:hAnsi="宋体"/>
          <w:sz w:val="28"/>
          <w:szCs w:val="28"/>
        </w:rPr>
        <w:t>35.7%</w:t>
      </w:r>
      <w:r>
        <w:rPr>
          <w:rFonts w:ascii="宋体" w:hAnsi="宋体" w:hint="eastAsia"/>
          <w:sz w:val="28"/>
          <w:szCs w:val="28"/>
        </w:rPr>
        <w:t>，占总成交额比例仅为</w:t>
      </w:r>
      <w:r>
        <w:rPr>
          <w:rFonts w:ascii="宋体" w:hAnsi="宋体"/>
          <w:sz w:val="28"/>
          <w:szCs w:val="28"/>
        </w:rPr>
        <w:t>5%</w:t>
      </w:r>
      <w:r>
        <w:rPr>
          <w:rFonts w:ascii="宋体" w:hAnsi="宋体" w:hint="eastAsia"/>
          <w:sz w:val="28"/>
          <w:szCs w:val="28"/>
        </w:rPr>
        <w:t>；此外，金融机构委托成交</w:t>
      </w:r>
      <w:r>
        <w:rPr>
          <w:rFonts w:ascii="宋体" w:hAnsi="宋体"/>
          <w:sz w:val="28"/>
          <w:szCs w:val="28"/>
        </w:rPr>
        <w:t>87</w:t>
      </w:r>
      <w:r>
        <w:rPr>
          <w:rFonts w:ascii="宋体" w:hAnsi="宋体" w:hint="eastAsia"/>
          <w:sz w:val="28"/>
          <w:szCs w:val="28"/>
        </w:rPr>
        <w:t>亿，增幅翻番；破产清算委托成交</w:t>
      </w:r>
      <w:r>
        <w:rPr>
          <w:rFonts w:ascii="宋体" w:hAnsi="宋体"/>
          <w:sz w:val="28"/>
          <w:szCs w:val="28"/>
        </w:rPr>
        <w:t>24.86</w:t>
      </w:r>
      <w:r>
        <w:rPr>
          <w:rFonts w:ascii="宋体" w:hAnsi="宋体" w:hint="eastAsia"/>
          <w:sz w:val="28"/>
          <w:szCs w:val="28"/>
        </w:rPr>
        <w:t>亿元，与上年同期持平，见表</w:t>
      </w:r>
      <w:r>
        <w:rPr>
          <w:rFonts w:ascii="宋体" w:hAnsi="宋体"/>
          <w:sz w:val="28"/>
          <w:szCs w:val="28"/>
        </w:rPr>
        <w:t>3-2</w:t>
      </w:r>
      <w:r>
        <w:rPr>
          <w:rFonts w:ascii="宋体" w:hAnsi="宋体" w:hint="eastAsia"/>
          <w:sz w:val="28"/>
          <w:szCs w:val="28"/>
        </w:rPr>
        <w:t>。</w:t>
      </w:r>
    </w:p>
    <w:p w:rsidR="00F14FA8" w:rsidRDefault="00F14FA8" w:rsidP="00750D2E">
      <w:pPr>
        <w:pStyle w:val="ListParagraph"/>
        <w:spacing w:before="100" w:beforeAutospacing="1" w:after="100" w:afterAutospacing="1" w:line="360" w:lineRule="auto"/>
        <w:ind w:firstLineChars="0" w:firstLine="0"/>
        <w:jc w:val="center"/>
        <w:rPr>
          <w:rFonts w:ascii="宋体"/>
          <w:b/>
          <w:sz w:val="24"/>
          <w:szCs w:val="24"/>
        </w:rPr>
      </w:pPr>
    </w:p>
    <w:p w:rsidR="00F14FA8" w:rsidRDefault="00F14FA8" w:rsidP="00750D2E">
      <w:pPr>
        <w:pStyle w:val="ListParagraph"/>
        <w:spacing w:before="100" w:beforeAutospacing="1" w:after="100" w:afterAutospacing="1" w:line="360" w:lineRule="auto"/>
        <w:ind w:firstLineChars="0" w:firstLine="0"/>
        <w:jc w:val="center"/>
        <w:rPr>
          <w:rFonts w:ascii="宋体"/>
          <w:b/>
          <w:sz w:val="24"/>
          <w:szCs w:val="24"/>
        </w:rPr>
      </w:pPr>
      <w:r w:rsidRPr="003C3181">
        <w:rPr>
          <w:rFonts w:ascii="宋体" w:hAnsi="宋体" w:hint="eastAsia"/>
          <w:b/>
          <w:sz w:val="24"/>
          <w:szCs w:val="24"/>
        </w:rPr>
        <w:t>表</w:t>
      </w:r>
      <w:r w:rsidRPr="003C3181">
        <w:rPr>
          <w:rFonts w:ascii="宋体" w:hAnsi="宋体"/>
          <w:b/>
          <w:sz w:val="24"/>
          <w:szCs w:val="24"/>
        </w:rPr>
        <w:t>3-</w:t>
      </w:r>
      <w:r>
        <w:rPr>
          <w:rFonts w:ascii="宋体" w:hAnsi="宋体"/>
          <w:b/>
          <w:sz w:val="24"/>
          <w:szCs w:val="24"/>
        </w:rPr>
        <w:t>2</w:t>
      </w:r>
      <w:r w:rsidRPr="003C3181">
        <w:rPr>
          <w:rFonts w:ascii="宋体" w:hAnsi="宋体"/>
          <w:b/>
          <w:sz w:val="24"/>
          <w:szCs w:val="24"/>
        </w:rPr>
        <w:t xml:space="preserve">  </w:t>
      </w:r>
      <w:r>
        <w:rPr>
          <w:rFonts w:ascii="宋体" w:hAnsi="宋体"/>
          <w:b/>
          <w:sz w:val="24"/>
          <w:szCs w:val="24"/>
        </w:rPr>
        <w:t xml:space="preserve">  </w:t>
      </w:r>
      <w:r w:rsidRPr="003C3181">
        <w:rPr>
          <w:rFonts w:ascii="宋体" w:hAnsi="宋体"/>
          <w:b/>
          <w:sz w:val="24"/>
          <w:szCs w:val="24"/>
        </w:rPr>
        <w:t>3</w:t>
      </w:r>
      <w:r w:rsidRPr="003C3181">
        <w:rPr>
          <w:rFonts w:ascii="宋体" w:hAnsi="宋体" w:hint="eastAsia"/>
          <w:b/>
          <w:sz w:val="24"/>
          <w:szCs w:val="24"/>
        </w:rPr>
        <w:t>季度拍卖业</w:t>
      </w:r>
      <w:r>
        <w:rPr>
          <w:rFonts w:ascii="宋体" w:hAnsi="宋体" w:hint="eastAsia"/>
          <w:b/>
          <w:sz w:val="24"/>
          <w:szCs w:val="24"/>
        </w:rPr>
        <w:t>项目来源</w:t>
      </w:r>
      <w:r w:rsidRPr="003C3181">
        <w:rPr>
          <w:rFonts w:ascii="宋体" w:hAnsi="宋体" w:hint="eastAsia"/>
          <w:b/>
          <w:sz w:val="24"/>
          <w:szCs w:val="24"/>
        </w:rPr>
        <w:t>结构及增长情况</w:t>
      </w:r>
      <w:r>
        <w:rPr>
          <w:rFonts w:ascii="宋体" w:hAnsi="宋体"/>
          <w:b/>
          <w:sz w:val="24"/>
          <w:szCs w:val="24"/>
        </w:rPr>
        <w:t xml:space="preserve">  </w:t>
      </w:r>
      <w:r w:rsidRPr="00545FCF">
        <w:rPr>
          <w:rFonts w:ascii="宋体" w:hAnsi="宋体" w:hint="eastAsia"/>
          <w:b/>
          <w:szCs w:val="21"/>
        </w:rPr>
        <w:t>单位：亿元</w:t>
      </w:r>
    </w:p>
    <w:p w:rsidR="00F14FA8" w:rsidRPr="003C3181" w:rsidRDefault="00F14FA8" w:rsidP="00750D2E">
      <w:pPr>
        <w:pStyle w:val="ListParagraph"/>
        <w:spacing w:before="100" w:beforeAutospacing="1" w:after="100" w:afterAutospacing="1" w:line="360" w:lineRule="auto"/>
        <w:ind w:firstLine="31680"/>
        <w:jc w:val="center"/>
        <w:rPr>
          <w:rFonts w:ascii="宋体"/>
          <w:b/>
          <w:sz w:val="24"/>
          <w:szCs w:val="24"/>
        </w:rPr>
      </w:pPr>
    </w:p>
    <w:tbl>
      <w:tblPr>
        <w:tblW w:w="8247" w:type="dxa"/>
        <w:jc w:val="center"/>
        <w:tblInd w:w="-34" w:type="dxa"/>
        <w:tblLook w:val="00A0"/>
      </w:tblPr>
      <w:tblGrid>
        <w:gridCol w:w="1689"/>
        <w:gridCol w:w="1116"/>
        <w:gridCol w:w="1070"/>
        <w:gridCol w:w="1116"/>
        <w:gridCol w:w="1070"/>
        <w:gridCol w:w="1116"/>
        <w:gridCol w:w="1070"/>
      </w:tblGrid>
      <w:tr w:rsidR="00F14FA8" w:rsidRPr="00545FCF" w:rsidTr="00545FCF">
        <w:trPr>
          <w:trHeight w:val="345"/>
          <w:jc w:val="center"/>
        </w:trPr>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项目委托对象</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b/>
                <w:bCs/>
                <w:kern w:val="0"/>
                <w:sz w:val="20"/>
                <w:szCs w:val="20"/>
              </w:rPr>
              <w:t>2013</w:t>
            </w:r>
            <w:r w:rsidRPr="00545FCF">
              <w:rPr>
                <w:rFonts w:ascii="宋体" w:hAnsi="宋体" w:cs="宋体" w:hint="eastAsia"/>
                <w:b/>
                <w:bCs/>
                <w:kern w:val="0"/>
                <w:sz w:val="20"/>
                <w:szCs w:val="20"/>
              </w:rPr>
              <w:t>年第</w:t>
            </w:r>
            <w:r w:rsidRPr="00545FCF">
              <w:rPr>
                <w:rFonts w:ascii="宋体" w:hAnsi="宋体" w:cs="宋体"/>
                <w:b/>
                <w:bCs/>
                <w:kern w:val="0"/>
                <w:sz w:val="20"/>
                <w:szCs w:val="20"/>
              </w:rPr>
              <w:t>3</w:t>
            </w:r>
            <w:r w:rsidRPr="00545FCF">
              <w:rPr>
                <w:rFonts w:ascii="宋体" w:hAnsi="宋体" w:cs="宋体" w:hint="eastAsia"/>
                <w:b/>
                <w:bCs/>
                <w:kern w:val="0"/>
                <w:sz w:val="20"/>
                <w:szCs w:val="20"/>
              </w:rPr>
              <w:t>季度</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比例</w:t>
            </w:r>
          </w:p>
        </w:tc>
        <w:tc>
          <w:tcPr>
            <w:tcW w:w="2186" w:type="dxa"/>
            <w:gridSpan w:val="2"/>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同比增长</w:t>
            </w:r>
          </w:p>
        </w:tc>
        <w:tc>
          <w:tcPr>
            <w:tcW w:w="2186" w:type="dxa"/>
            <w:gridSpan w:val="2"/>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环比增长</w:t>
            </w:r>
          </w:p>
        </w:tc>
      </w:tr>
      <w:tr w:rsidR="00F14FA8" w:rsidRPr="00545FCF" w:rsidTr="00545FCF">
        <w:trPr>
          <w:trHeight w:val="615"/>
          <w:jc w:val="center"/>
        </w:trPr>
        <w:tc>
          <w:tcPr>
            <w:tcW w:w="1689" w:type="dxa"/>
            <w:vMerge/>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left"/>
              <w:rPr>
                <w:rFonts w:ascii="宋体" w:cs="宋体"/>
                <w:b/>
                <w:bCs/>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left"/>
              <w:rPr>
                <w:rFonts w:ascii="宋体" w:cs="宋体"/>
                <w:b/>
                <w:bCs/>
                <w:kern w:val="0"/>
                <w:sz w:val="20"/>
                <w:szCs w:val="20"/>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left"/>
              <w:rPr>
                <w:rFonts w:ascii="宋体" w:cs="宋体"/>
                <w:b/>
                <w:bCs/>
                <w:kern w:val="0"/>
                <w:sz w:val="20"/>
                <w:szCs w:val="20"/>
              </w:rPr>
            </w:pP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b/>
                <w:bCs/>
                <w:kern w:val="0"/>
                <w:sz w:val="20"/>
                <w:szCs w:val="20"/>
              </w:rPr>
              <w:t>2012</w:t>
            </w:r>
            <w:r w:rsidRPr="00545FCF">
              <w:rPr>
                <w:rFonts w:ascii="宋体" w:hAnsi="宋体" w:cs="宋体" w:hint="eastAsia"/>
                <w:b/>
                <w:bCs/>
                <w:kern w:val="0"/>
                <w:sz w:val="20"/>
                <w:szCs w:val="20"/>
              </w:rPr>
              <w:t>年第</w:t>
            </w:r>
            <w:r w:rsidRPr="00545FCF">
              <w:rPr>
                <w:rFonts w:ascii="宋体" w:hAnsi="宋体" w:cs="宋体"/>
                <w:b/>
                <w:bCs/>
                <w:kern w:val="0"/>
                <w:sz w:val="20"/>
                <w:szCs w:val="20"/>
              </w:rPr>
              <w:t>3</w:t>
            </w:r>
            <w:r w:rsidRPr="00545FCF">
              <w:rPr>
                <w:rFonts w:ascii="宋体" w:hAnsi="宋体" w:cs="宋体" w:hint="eastAsia"/>
                <w:b/>
                <w:bCs/>
                <w:kern w:val="0"/>
                <w:sz w:val="20"/>
                <w:szCs w:val="20"/>
              </w:rPr>
              <w:t>季度</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增长率</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b/>
                <w:bCs/>
                <w:kern w:val="0"/>
                <w:sz w:val="20"/>
                <w:szCs w:val="20"/>
              </w:rPr>
              <w:t>2013</w:t>
            </w:r>
            <w:r w:rsidRPr="00545FCF">
              <w:rPr>
                <w:rFonts w:ascii="宋体" w:hAnsi="宋体" w:cs="宋体" w:hint="eastAsia"/>
                <w:b/>
                <w:bCs/>
                <w:kern w:val="0"/>
                <w:sz w:val="20"/>
                <w:szCs w:val="20"/>
              </w:rPr>
              <w:t>年第</w:t>
            </w:r>
            <w:r w:rsidRPr="00545FCF">
              <w:rPr>
                <w:rFonts w:ascii="宋体" w:hAnsi="宋体" w:cs="宋体"/>
                <w:b/>
                <w:bCs/>
                <w:kern w:val="0"/>
                <w:sz w:val="20"/>
                <w:szCs w:val="20"/>
              </w:rPr>
              <w:t>2</w:t>
            </w:r>
            <w:r w:rsidRPr="00545FCF">
              <w:rPr>
                <w:rFonts w:ascii="宋体" w:hAnsi="宋体" w:cs="宋体" w:hint="eastAsia"/>
                <w:b/>
                <w:bCs/>
                <w:kern w:val="0"/>
                <w:sz w:val="20"/>
                <w:szCs w:val="20"/>
              </w:rPr>
              <w:t>季度</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b/>
                <w:bCs/>
                <w:kern w:val="0"/>
                <w:sz w:val="20"/>
                <w:szCs w:val="20"/>
              </w:rPr>
            </w:pPr>
            <w:r w:rsidRPr="00545FCF">
              <w:rPr>
                <w:rFonts w:ascii="宋体" w:hAnsi="宋体" w:cs="宋体" w:hint="eastAsia"/>
                <w:b/>
                <w:bCs/>
                <w:kern w:val="0"/>
                <w:sz w:val="20"/>
                <w:szCs w:val="20"/>
              </w:rPr>
              <w:t>增长率</w:t>
            </w:r>
          </w:p>
        </w:tc>
      </w:tr>
      <w:tr w:rsidR="00F14FA8" w:rsidRPr="00545FCF" w:rsidTr="00545FCF">
        <w:trPr>
          <w:trHeight w:val="345"/>
          <w:jc w:val="center"/>
        </w:trPr>
        <w:tc>
          <w:tcPr>
            <w:tcW w:w="1689" w:type="dxa"/>
            <w:tcBorders>
              <w:top w:val="nil"/>
              <w:left w:val="single" w:sz="4" w:space="0" w:color="000000"/>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全国</w:t>
            </w:r>
          </w:p>
        </w:tc>
        <w:tc>
          <w:tcPr>
            <w:tcW w:w="1116"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16607158</w:t>
            </w:r>
          </w:p>
        </w:tc>
        <w:tc>
          <w:tcPr>
            <w:tcW w:w="1070"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100.00%</w:t>
            </w:r>
          </w:p>
        </w:tc>
        <w:tc>
          <w:tcPr>
            <w:tcW w:w="1116"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13760567</w:t>
            </w:r>
          </w:p>
        </w:tc>
        <w:tc>
          <w:tcPr>
            <w:tcW w:w="1070"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20.69%</w:t>
            </w:r>
          </w:p>
        </w:tc>
        <w:tc>
          <w:tcPr>
            <w:tcW w:w="1116"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14383197</w:t>
            </w:r>
          </w:p>
        </w:tc>
        <w:tc>
          <w:tcPr>
            <w:tcW w:w="1070" w:type="dxa"/>
            <w:tcBorders>
              <w:top w:val="nil"/>
              <w:left w:val="nil"/>
              <w:bottom w:val="nil"/>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15.46%</w:t>
            </w:r>
          </w:p>
        </w:tc>
      </w:tr>
      <w:tr w:rsidR="00F14FA8" w:rsidRPr="00545FCF" w:rsidTr="00545FCF">
        <w:trPr>
          <w:trHeight w:val="345"/>
          <w:jc w:val="center"/>
        </w:trPr>
        <w:tc>
          <w:tcPr>
            <w:tcW w:w="1689" w:type="dxa"/>
            <w:tcBorders>
              <w:top w:val="single" w:sz="4" w:space="0" w:color="000000"/>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法院委托</w:t>
            </w:r>
            <w:r w:rsidRPr="00545FCF">
              <w:rPr>
                <w:rFonts w:ascii="宋体" w:hAnsi="宋体" w:cs="宋体"/>
                <w:kern w:val="0"/>
                <w:sz w:val="20"/>
                <w:szCs w:val="20"/>
              </w:rPr>
              <w:t xml:space="preserve"> </w:t>
            </w:r>
          </w:p>
        </w:tc>
        <w:tc>
          <w:tcPr>
            <w:tcW w:w="1116"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3270337.4</w:t>
            </w:r>
          </w:p>
        </w:tc>
        <w:tc>
          <w:tcPr>
            <w:tcW w:w="1070"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19.69%</w:t>
            </w:r>
          </w:p>
        </w:tc>
        <w:tc>
          <w:tcPr>
            <w:tcW w:w="1116"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2103392.9</w:t>
            </w:r>
          </w:p>
        </w:tc>
        <w:tc>
          <w:tcPr>
            <w:tcW w:w="1070"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55.48%</w:t>
            </w:r>
          </w:p>
        </w:tc>
        <w:tc>
          <w:tcPr>
            <w:tcW w:w="1116"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2761836.4</w:t>
            </w:r>
          </w:p>
        </w:tc>
        <w:tc>
          <w:tcPr>
            <w:tcW w:w="1070" w:type="dxa"/>
            <w:tcBorders>
              <w:top w:val="single" w:sz="4" w:space="0" w:color="000000"/>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18.41%</w:t>
            </w:r>
          </w:p>
        </w:tc>
      </w:tr>
      <w:tr w:rsidR="00F14FA8" w:rsidRPr="00545FCF" w:rsidTr="00545FCF">
        <w:trPr>
          <w:trHeight w:val="345"/>
          <w:jc w:val="center"/>
        </w:trPr>
        <w:tc>
          <w:tcPr>
            <w:tcW w:w="1689" w:type="dxa"/>
            <w:tcBorders>
              <w:top w:val="nil"/>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政府部门委托</w:t>
            </w:r>
            <w:r w:rsidRPr="00545FCF">
              <w:rPr>
                <w:rFonts w:ascii="宋体" w:hAnsi="宋体" w:cs="宋体"/>
                <w:kern w:val="0"/>
                <w:sz w:val="20"/>
                <w:szCs w:val="20"/>
              </w:rPr>
              <w:t xml:space="preserve"> </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8762699.9</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52.76%</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7645874.8</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14.61%</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7508319</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16.71%</w:t>
            </w:r>
          </w:p>
        </w:tc>
      </w:tr>
      <w:tr w:rsidR="00F14FA8" w:rsidRPr="00545FCF" w:rsidTr="00545FCF">
        <w:trPr>
          <w:trHeight w:val="345"/>
          <w:jc w:val="center"/>
        </w:trPr>
        <w:tc>
          <w:tcPr>
            <w:tcW w:w="1689" w:type="dxa"/>
            <w:tcBorders>
              <w:top w:val="nil"/>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金融机构委托</w:t>
            </w:r>
            <w:r w:rsidRPr="00545FCF">
              <w:rPr>
                <w:rFonts w:ascii="宋体" w:hAnsi="宋体" w:cs="宋体"/>
                <w:kern w:val="0"/>
                <w:sz w:val="20"/>
                <w:szCs w:val="20"/>
              </w:rPr>
              <w:t xml:space="preserve"> </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869948.76</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5.24%</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434151.9</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100.38%</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399477.62</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117.77%</w:t>
            </w:r>
          </w:p>
        </w:tc>
      </w:tr>
      <w:tr w:rsidR="00F14FA8" w:rsidRPr="00545FCF" w:rsidTr="00545FCF">
        <w:trPr>
          <w:trHeight w:val="345"/>
          <w:jc w:val="center"/>
        </w:trPr>
        <w:tc>
          <w:tcPr>
            <w:tcW w:w="1689" w:type="dxa"/>
            <w:tcBorders>
              <w:top w:val="nil"/>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破产清算组委托</w:t>
            </w:r>
            <w:r w:rsidRPr="00545FCF">
              <w:rPr>
                <w:rFonts w:ascii="宋体" w:hAnsi="宋体" w:cs="宋体"/>
                <w:kern w:val="0"/>
                <w:sz w:val="20"/>
                <w:szCs w:val="20"/>
              </w:rPr>
              <w:t xml:space="preserve"> </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248580.49</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1.50%</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271229.36</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-8.35%</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259025.71</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-4.03%</w:t>
            </w:r>
          </w:p>
        </w:tc>
      </w:tr>
      <w:tr w:rsidR="00F14FA8" w:rsidRPr="00545FCF" w:rsidTr="00545FCF">
        <w:trPr>
          <w:trHeight w:val="345"/>
          <w:jc w:val="center"/>
        </w:trPr>
        <w:tc>
          <w:tcPr>
            <w:tcW w:w="1689" w:type="dxa"/>
            <w:tcBorders>
              <w:top w:val="nil"/>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其他机构委托</w:t>
            </w:r>
            <w:r w:rsidRPr="00545FCF">
              <w:rPr>
                <w:rFonts w:ascii="宋体" w:hAnsi="宋体" w:cs="宋体"/>
                <w:kern w:val="0"/>
                <w:sz w:val="20"/>
                <w:szCs w:val="20"/>
              </w:rPr>
              <w:t xml:space="preserve"> </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2624940.4</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15.81%</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2425859.4</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8.21%</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2163486.7</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21.33%</w:t>
            </w:r>
          </w:p>
        </w:tc>
      </w:tr>
      <w:tr w:rsidR="00F14FA8" w:rsidRPr="00545FCF" w:rsidTr="00545FCF">
        <w:trPr>
          <w:trHeight w:val="345"/>
          <w:jc w:val="center"/>
        </w:trPr>
        <w:tc>
          <w:tcPr>
            <w:tcW w:w="1689" w:type="dxa"/>
            <w:tcBorders>
              <w:top w:val="nil"/>
              <w:left w:val="single" w:sz="4" w:space="0" w:color="000000"/>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hint="eastAsia"/>
                <w:kern w:val="0"/>
                <w:sz w:val="20"/>
                <w:szCs w:val="20"/>
              </w:rPr>
              <w:t>个人委托</w:t>
            </w:r>
            <w:r w:rsidRPr="00545FCF">
              <w:rPr>
                <w:rFonts w:ascii="宋体" w:hAnsi="宋体" w:cs="宋体"/>
                <w:kern w:val="0"/>
                <w:sz w:val="20"/>
                <w:szCs w:val="20"/>
              </w:rPr>
              <w:t xml:space="preserve"> </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830651.41</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5.00%</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880058.77</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-5.61%</w:t>
            </w:r>
          </w:p>
        </w:tc>
        <w:tc>
          <w:tcPr>
            <w:tcW w:w="1116"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1291051.1</w:t>
            </w:r>
          </w:p>
        </w:tc>
        <w:tc>
          <w:tcPr>
            <w:tcW w:w="1070" w:type="dxa"/>
            <w:tcBorders>
              <w:top w:val="nil"/>
              <w:left w:val="nil"/>
              <w:bottom w:val="single" w:sz="4" w:space="0" w:color="000000"/>
              <w:right w:val="single" w:sz="4" w:space="0" w:color="000000"/>
            </w:tcBorders>
            <w:vAlign w:val="center"/>
          </w:tcPr>
          <w:p w:rsidR="00F14FA8" w:rsidRPr="00545FCF" w:rsidRDefault="00F14FA8" w:rsidP="00750D2E">
            <w:pPr>
              <w:widowControl/>
              <w:spacing w:before="100" w:beforeAutospacing="1" w:after="100" w:afterAutospacing="1" w:line="360" w:lineRule="auto"/>
              <w:jc w:val="center"/>
              <w:rPr>
                <w:rFonts w:ascii="宋体" w:cs="宋体"/>
                <w:kern w:val="0"/>
                <w:sz w:val="20"/>
                <w:szCs w:val="20"/>
              </w:rPr>
            </w:pPr>
            <w:r w:rsidRPr="00545FCF">
              <w:rPr>
                <w:rFonts w:ascii="宋体" w:hAnsi="宋体" w:cs="宋体"/>
                <w:kern w:val="0"/>
                <w:sz w:val="20"/>
                <w:szCs w:val="20"/>
              </w:rPr>
              <w:t>-35.66%</w:t>
            </w:r>
          </w:p>
        </w:tc>
      </w:tr>
    </w:tbl>
    <w:p w:rsidR="00F14FA8" w:rsidRDefault="00F14FA8" w:rsidP="00750D2E">
      <w:pPr>
        <w:pStyle w:val="ListParagraph"/>
        <w:spacing w:before="100" w:beforeAutospacing="1" w:after="100" w:afterAutospacing="1" w:line="360" w:lineRule="auto"/>
        <w:ind w:firstLineChars="0" w:firstLine="0"/>
        <w:rPr>
          <w:rFonts w:ascii="宋体"/>
          <w:szCs w:val="21"/>
        </w:rPr>
      </w:pPr>
    </w:p>
    <w:p w:rsidR="00F14FA8" w:rsidRPr="00F54D5E" w:rsidRDefault="00F14FA8" w:rsidP="00750D2E">
      <w:pPr>
        <w:pStyle w:val="ListParagraph"/>
        <w:spacing w:before="100" w:beforeAutospacing="1" w:after="100" w:afterAutospacing="1" w:line="360" w:lineRule="auto"/>
        <w:ind w:firstLineChars="0" w:firstLine="0"/>
        <w:rPr>
          <w:rFonts w:ascii="宋体"/>
          <w:szCs w:val="21"/>
        </w:rPr>
      </w:pPr>
    </w:p>
    <w:p w:rsidR="00F14FA8" w:rsidRPr="00A7188C" w:rsidRDefault="00F14FA8" w:rsidP="00750D2E">
      <w:pPr>
        <w:pStyle w:val="ListParagraph"/>
        <w:numPr>
          <w:ilvl w:val="0"/>
          <w:numId w:val="2"/>
        </w:numPr>
        <w:tabs>
          <w:tab w:val="clear" w:pos="360"/>
          <w:tab w:val="num" w:pos="3686"/>
        </w:tabs>
        <w:spacing w:before="100" w:beforeAutospacing="1" w:after="100" w:afterAutospacing="1" w:line="360" w:lineRule="auto"/>
        <w:ind w:left="993" w:firstLineChars="0"/>
        <w:jc w:val="left"/>
        <w:rPr>
          <w:rFonts w:ascii="黑体" w:eastAsia="黑体"/>
          <w:sz w:val="28"/>
          <w:szCs w:val="28"/>
        </w:rPr>
      </w:pPr>
      <w:r w:rsidRPr="00A7188C">
        <w:rPr>
          <w:rFonts w:ascii="黑体" w:eastAsia="黑体" w:hAnsi="宋体" w:hint="eastAsia"/>
          <w:sz w:val="28"/>
          <w:szCs w:val="28"/>
        </w:rPr>
        <w:t>法</w:t>
      </w:r>
      <w:r>
        <w:rPr>
          <w:rFonts w:ascii="黑体" w:eastAsia="黑体" w:hAnsi="宋体" w:hint="eastAsia"/>
          <w:sz w:val="28"/>
          <w:szCs w:val="28"/>
        </w:rPr>
        <w:t>院委托业务缓慢回升</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hint="eastAsia"/>
          <w:sz w:val="28"/>
          <w:szCs w:val="28"/>
        </w:rPr>
        <w:t>法院委托拍卖业务前三个季度成交额较</w:t>
      </w:r>
      <w:r>
        <w:rPr>
          <w:rFonts w:ascii="宋体" w:hAnsi="宋体"/>
          <w:sz w:val="28"/>
          <w:szCs w:val="28"/>
        </w:rPr>
        <w:t>2011</w:t>
      </w:r>
      <w:r>
        <w:rPr>
          <w:rFonts w:ascii="宋体" w:hAnsi="宋体" w:hint="eastAsia"/>
          <w:sz w:val="28"/>
          <w:szCs w:val="28"/>
        </w:rPr>
        <w:t>、</w:t>
      </w:r>
      <w:r>
        <w:rPr>
          <w:rFonts w:ascii="宋体" w:hAnsi="宋体"/>
          <w:sz w:val="28"/>
          <w:szCs w:val="28"/>
        </w:rPr>
        <w:t>2012</w:t>
      </w:r>
      <w:r>
        <w:rPr>
          <w:rFonts w:ascii="宋体" w:hAnsi="宋体" w:hint="eastAsia"/>
          <w:sz w:val="28"/>
          <w:szCs w:val="28"/>
        </w:rPr>
        <w:t>年同期均有所增长，</w:t>
      </w:r>
      <w:r>
        <w:rPr>
          <w:rFonts w:ascii="宋体" w:hAnsi="宋体"/>
          <w:sz w:val="28"/>
          <w:szCs w:val="28"/>
        </w:rPr>
        <w:t>1</w:t>
      </w:r>
      <w:r>
        <w:rPr>
          <w:rFonts w:ascii="宋体" w:hAnsi="宋体" w:hint="eastAsia"/>
          <w:sz w:val="28"/>
          <w:szCs w:val="28"/>
        </w:rPr>
        <w:t>季度成交</w:t>
      </w:r>
      <w:r>
        <w:rPr>
          <w:rFonts w:ascii="宋体" w:hAnsi="宋体"/>
          <w:sz w:val="28"/>
          <w:szCs w:val="28"/>
        </w:rPr>
        <w:t>206.95</w:t>
      </w:r>
      <w:r>
        <w:rPr>
          <w:rFonts w:ascii="宋体" w:hAnsi="宋体" w:hint="eastAsia"/>
          <w:sz w:val="28"/>
          <w:szCs w:val="28"/>
        </w:rPr>
        <w:t>亿元，同比增长</w:t>
      </w:r>
      <w:r>
        <w:rPr>
          <w:rFonts w:ascii="宋体" w:hAnsi="宋体"/>
          <w:sz w:val="28"/>
          <w:szCs w:val="28"/>
        </w:rPr>
        <w:t>71.7%</w:t>
      </w:r>
      <w:r>
        <w:rPr>
          <w:rFonts w:ascii="宋体" w:hAnsi="宋体" w:hint="eastAsia"/>
          <w:sz w:val="28"/>
          <w:szCs w:val="28"/>
        </w:rPr>
        <w:t>，</w:t>
      </w:r>
      <w:r>
        <w:rPr>
          <w:rFonts w:ascii="宋体" w:hAnsi="宋体"/>
          <w:sz w:val="28"/>
          <w:szCs w:val="28"/>
        </w:rPr>
        <w:t>2</w:t>
      </w:r>
      <w:r>
        <w:rPr>
          <w:rFonts w:ascii="宋体" w:hAnsi="宋体" w:hint="eastAsia"/>
          <w:sz w:val="28"/>
          <w:szCs w:val="28"/>
        </w:rPr>
        <w:t>季度成交</w:t>
      </w:r>
      <w:r>
        <w:rPr>
          <w:rFonts w:ascii="宋体" w:hAnsi="宋体"/>
          <w:sz w:val="28"/>
          <w:szCs w:val="28"/>
        </w:rPr>
        <w:t>276.2</w:t>
      </w:r>
      <w:r>
        <w:rPr>
          <w:rFonts w:ascii="宋体" w:hAnsi="宋体" w:hint="eastAsia"/>
          <w:sz w:val="28"/>
          <w:szCs w:val="28"/>
        </w:rPr>
        <w:t>亿元，同比增长</w:t>
      </w:r>
      <w:r>
        <w:rPr>
          <w:rFonts w:ascii="宋体" w:hAnsi="宋体"/>
          <w:sz w:val="28"/>
          <w:szCs w:val="28"/>
        </w:rPr>
        <w:t>54.3%</w:t>
      </w:r>
      <w:r>
        <w:rPr>
          <w:rFonts w:ascii="宋体" w:hAnsi="宋体" w:hint="eastAsia"/>
          <w:sz w:val="28"/>
          <w:szCs w:val="28"/>
        </w:rPr>
        <w:t>，</w:t>
      </w:r>
      <w:r>
        <w:rPr>
          <w:rFonts w:ascii="宋体" w:hAnsi="宋体"/>
          <w:sz w:val="28"/>
          <w:szCs w:val="28"/>
        </w:rPr>
        <w:t>3</w:t>
      </w:r>
      <w:r>
        <w:rPr>
          <w:rFonts w:ascii="宋体" w:hAnsi="宋体" w:hint="eastAsia"/>
          <w:sz w:val="28"/>
          <w:szCs w:val="28"/>
        </w:rPr>
        <w:t>季度成交</w:t>
      </w:r>
      <w:r>
        <w:rPr>
          <w:rFonts w:ascii="宋体" w:hAnsi="宋体"/>
          <w:sz w:val="28"/>
          <w:szCs w:val="28"/>
        </w:rPr>
        <w:t>327</w:t>
      </w:r>
      <w:r>
        <w:rPr>
          <w:rFonts w:ascii="宋体" w:hAnsi="宋体" w:hint="eastAsia"/>
          <w:sz w:val="28"/>
          <w:szCs w:val="28"/>
        </w:rPr>
        <w:t>亿元，同比增长</w:t>
      </w:r>
      <w:r>
        <w:rPr>
          <w:rFonts w:ascii="宋体" w:hAnsi="宋体"/>
          <w:sz w:val="28"/>
          <w:szCs w:val="28"/>
        </w:rPr>
        <w:t>55.7%</w:t>
      </w:r>
      <w:r>
        <w:rPr>
          <w:rFonts w:ascii="宋体" w:hAnsi="宋体" w:hint="eastAsia"/>
          <w:sz w:val="28"/>
          <w:szCs w:val="28"/>
        </w:rPr>
        <w:t>。</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sz w:val="28"/>
          <w:szCs w:val="28"/>
        </w:rPr>
        <w:t>2011</w:t>
      </w:r>
      <w:r>
        <w:rPr>
          <w:rFonts w:ascii="宋体" w:hAnsi="宋体" w:hint="eastAsia"/>
          <w:sz w:val="28"/>
          <w:szCs w:val="28"/>
        </w:rPr>
        <w:t>年初开始，全国陆续有多个地区规定法院</w:t>
      </w:r>
      <w:r>
        <w:rPr>
          <w:rFonts w:hint="eastAsia"/>
          <w:sz w:val="28"/>
          <w:szCs w:val="28"/>
        </w:rPr>
        <w:t>委托拍卖业务入产权交易所进行交易，导致司法委托拍卖成交额持续下降，</w:t>
      </w:r>
      <w:r w:rsidRPr="00362B8D">
        <w:rPr>
          <w:rFonts w:hint="eastAsia"/>
          <w:sz w:val="28"/>
          <w:szCs w:val="28"/>
        </w:rPr>
        <w:t>当年</w:t>
      </w:r>
      <w:r>
        <w:rPr>
          <w:rFonts w:ascii="宋体" w:hAnsi="宋体"/>
          <w:sz w:val="28"/>
          <w:szCs w:val="28"/>
        </w:rPr>
        <w:t>3</w:t>
      </w:r>
      <w:r>
        <w:rPr>
          <w:rFonts w:ascii="宋体" w:hAnsi="宋体" w:hint="eastAsia"/>
          <w:sz w:val="28"/>
          <w:szCs w:val="28"/>
        </w:rPr>
        <w:t>季度，法院委托业务仅成交</w:t>
      </w:r>
      <w:r>
        <w:rPr>
          <w:rFonts w:ascii="宋体" w:hAnsi="宋体"/>
          <w:sz w:val="28"/>
          <w:szCs w:val="28"/>
        </w:rPr>
        <w:t>175.6</w:t>
      </w:r>
      <w:r>
        <w:rPr>
          <w:rFonts w:ascii="宋体" w:hAnsi="宋体" w:hint="eastAsia"/>
          <w:sz w:val="28"/>
          <w:szCs w:val="28"/>
        </w:rPr>
        <w:t>亿元，出现同比、环比双双下滑的局面，拍卖行业经营结构调整全面展开。</w:t>
      </w:r>
    </w:p>
    <w:p w:rsidR="00F14FA8" w:rsidRDefault="00F14FA8" w:rsidP="00750D2E">
      <w:pPr>
        <w:pStyle w:val="ListParagraph"/>
        <w:spacing w:before="100" w:beforeAutospacing="1" w:after="100" w:afterAutospacing="1" w:line="360" w:lineRule="auto"/>
        <w:ind w:firstLine="31680"/>
        <w:rPr>
          <w:rFonts w:ascii="宋体"/>
          <w:sz w:val="28"/>
          <w:szCs w:val="28"/>
        </w:rPr>
      </w:pPr>
      <w:r>
        <w:rPr>
          <w:rFonts w:ascii="宋体" w:hAnsi="宋体" w:hint="eastAsia"/>
          <w:sz w:val="28"/>
          <w:szCs w:val="28"/>
        </w:rPr>
        <w:t>此后，中拍协依据</w:t>
      </w:r>
      <w:r w:rsidRPr="00391EDE">
        <w:rPr>
          <w:rFonts w:ascii="宋体" w:hAnsi="宋体" w:hint="eastAsia"/>
          <w:sz w:val="28"/>
          <w:szCs w:val="28"/>
        </w:rPr>
        <w:t>法释〔</w:t>
      </w:r>
      <w:r w:rsidRPr="00391EDE">
        <w:rPr>
          <w:rFonts w:ascii="宋体" w:hAnsi="宋体"/>
          <w:sz w:val="28"/>
          <w:szCs w:val="28"/>
        </w:rPr>
        <w:t>2011</w:t>
      </w:r>
      <w:r w:rsidRPr="00391EDE">
        <w:rPr>
          <w:rFonts w:ascii="宋体" w:hAnsi="宋体" w:hint="eastAsia"/>
          <w:sz w:val="28"/>
          <w:szCs w:val="28"/>
        </w:rPr>
        <w:t>〕</w:t>
      </w:r>
      <w:r w:rsidRPr="00391EDE">
        <w:rPr>
          <w:rFonts w:ascii="宋体" w:hAnsi="宋体"/>
          <w:sz w:val="28"/>
          <w:szCs w:val="28"/>
        </w:rPr>
        <w:t>21</w:t>
      </w:r>
      <w:r w:rsidRPr="00391EDE">
        <w:rPr>
          <w:rFonts w:ascii="宋体" w:hAnsi="宋体" w:hint="eastAsia"/>
          <w:sz w:val="28"/>
          <w:szCs w:val="28"/>
        </w:rPr>
        <w:t>号司法解释中提出</w:t>
      </w:r>
      <w:r>
        <w:rPr>
          <w:rFonts w:ascii="宋体" w:hAnsi="宋体" w:hint="eastAsia"/>
          <w:sz w:val="28"/>
          <w:szCs w:val="28"/>
        </w:rPr>
        <w:t>的“</w:t>
      </w:r>
      <w:r w:rsidRPr="00391EDE">
        <w:rPr>
          <w:rFonts w:ascii="宋体" w:hAnsi="宋体" w:hint="eastAsia"/>
          <w:sz w:val="28"/>
          <w:szCs w:val="28"/>
        </w:rPr>
        <w:t>司法委托拍卖业务要利用网络平台并在集中场所进行</w:t>
      </w:r>
      <w:r>
        <w:rPr>
          <w:rFonts w:ascii="宋体" w:hAnsi="宋体" w:hint="eastAsia"/>
          <w:sz w:val="28"/>
          <w:szCs w:val="28"/>
        </w:rPr>
        <w:t>”的有关内容，</w:t>
      </w:r>
      <w:r w:rsidRPr="00391EDE">
        <w:rPr>
          <w:rFonts w:ascii="宋体" w:hAnsi="宋体" w:hint="eastAsia"/>
          <w:sz w:val="28"/>
          <w:szCs w:val="28"/>
        </w:rPr>
        <w:t>为稳固司法委托拍卖业务，掌握公共资源拍卖中的主动权，</w:t>
      </w:r>
      <w:r w:rsidRPr="00391EDE">
        <w:rPr>
          <w:rFonts w:ascii="宋体" w:hAnsi="宋体"/>
          <w:sz w:val="28"/>
          <w:szCs w:val="28"/>
        </w:rPr>
        <w:t>2012</w:t>
      </w:r>
      <w:r w:rsidRPr="00391EDE">
        <w:rPr>
          <w:rFonts w:ascii="宋体" w:hAnsi="宋体" w:hint="eastAsia"/>
          <w:sz w:val="28"/>
          <w:szCs w:val="28"/>
        </w:rPr>
        <w:t>年</w:t>
      </w:r>
      <w:r w:rsidRPr="00391EDE">
        <w:rPr>
          <w:rFonts w:ascii="宋体" w:hAnsi="宋体"/>
          <w:sz w:val="28"/>
          <w:szCs w:val="28"/>
        </w:rPr>
        <w:t>1</w:t>
      </w:r>
      <w:r w:rsidRPr="00391EDE">
        <w:rPr>
          <w:rFonts w:ascii="宋体" w:hAnsi="宋体" w:hint="eastAsia"/>
          <w:sz w:val="28"/>
          <w:szCs w:val="28"/>
        </w:rPr>
        <w:t>月，中拍协发出《关于推进公共资源拍卖中心或平台建设的决定》（中拍协</w:t>
      </w:r>
      <w:r w:rsidRPr="00391EDE">
        <w:rPr>
          <w:rFonts w:ascii="宋体" w:hAnsi="宋体"/>
          <w:sz w:val="28"/>
          <w:szCs w:val="28"/>
        </w:rPr>
        <w:t>[2012]1</w:t>
      </w:r>
      <w:r w:rsidRPr="00391EDE">
        <w:rPr>
          <w:rFonts w:ascii="宋体" w:hAnsi="宋体" w:hint="eastAsia"/>
          <w:sz w:val="28"/>
          <w:szCs w:val="28"/>
        </w:rPr>
        <w:t>号），要求各地有效整合资源，充分利用协会网络拍卖平台，加快本地公共资源拍卖中心或平台建设。</w:t>
      </w:r>
    </w:p>
    <w:p w:rsidR="00F14FA8" w:rsidRDefault="00F14FA8" w:rsidP="00750D2E">
      <w:pPr>
        <w:pStyle w:val="ListParagraph"/>
        <w:spacing w:before="100" w:beforeAutospacing="1" w:after="100" w:afterAutospacing="1" w:line="360" w:lineRule="auto"/>
        <w:ind w:firstLine="31680"/>
        <w:rPr>
          <w:sz w:val="28"/>
          <w:szCs w:val="28"/>
        </w:rPr>
      </w:pPr>
      <w:r>
        <w:rPr>
          <w:rFonts w:ascii="宋体" w:hAnsi="宋体" w:hint="eastAsia"/>
          <w:sz w:val="28"/>
          <w:szCs w:val="28"/>
        </w:rPr>
        <w:t>与此同时，</w:t>
      </w:r>
      <w:r>
        <w:rPr>
          <w:rFonts w:ascii="宋体" w:hAnsi="宋体"/>
          <w:sz w:val="28"/>
          <w:szCs w:val="28"/>
        </w:rPr>
        <w:t>2012</w:t>
      </w:r>
      <w:r>
        <w:rPr>
          <w:rFonts w:ascii="宋体" w:hAnsi="宋体" w:hint="eastAsia"/>
          <w:sz w:val="28"/>
          <w:szCs w:val="28"/>
        </w:rPr>
        <w:t>年</w:t>
      </w:r>
      <w:r>
        <w:rPr>
          <w:rFonts w:ascii="宋体" w:hAnsi="宋体"/>
          <w:sz w:val="28"/>
          <w:szCs w:val="28"/>
        </w:rPr>
        <w:t>1</w:t>
      </w:r>
      <w:r>
        <w:rPr>
          <w:rFonts w:ascii="宋体" w:hAnsi="宋体" w:hint="eastAsia"/>
          <w:sz w:val="28"/>
          <w:szCs w:val="28"/>
        </w:rPr>
        <w:t>季度法院委托拍卖业务快速下滑，跌入谷底，仅仅成交</w:t>
      </w:r>
      <w:r>
        <w:rPr>
          <w:rFonts w:ascii="宋体" w:hAnsi="宋体"/>
          <w:sz w:val="28"/>
          <w:szCs w:val="28"/>
        </w:rPr>
        <w:t>120.5</w:t>
      </w:r>
      <w:r>
        <w:rPr>
          <w:rFonts w:ascii="宋体" w:hAnsi="宋体" w:hint="eastAsia"/>
          <w:sz w:val="28"/>
          <w:szCs w:val="28"/>
        </w:rPr>
        <w:t>亿元，拍卖企业面临着史无前例的严峻考验，见图</w:t>
      </w:r>
      <w:r>
        <w:rPr>
          <w:rFonts w:ascii="宋体" w:hAnsi="宋体"/>
          <w:sz w:val="28"/>
          <w:szCs w:val="28"/>
        </w:rPr>
        <w:t>3-3</w:t>
      </w:r>
      <w:r>
        <w:rPr>
          <w:rFonts w:ascii="宋体" w:hAnsi="宋体" w:hint="eastAsia"/>
          <w:sz w:val="28"/>
          <w:szCs w:val="28"/>
        </w:rPr>
        <w:t>。在中拍协的全面部署下，各地公共资源拍卖中心加快建设步伐，随着中拍协政策协调工作的不断深入，进入</w:t>
      </w:r>
      <w:r>
        <w:rPr>
          <w:rFonts w:ascii="宋体" w:hAnsi="宋体"/>
          <w:sz w:val="28"/>
          <w:szCs w:val="28"/>
        </w:rPr>
        <w:t>2013</w:t>
      </w:r>
      <w:r>
        <w:rPr>
          <w:rFonts w:ascii="宋体" w:hAnsi="宋体" w:hint="eastAsia"/>
          <w:sz w:val="28"/>
          <w:szCs w:val="28"/>
        </w:rPr>
        <w:t>年，司法委托政策逐步确定，</w:t>
      </w:r>
      <w:r w:rsidRPr="00391EDE">
        <w:rPr>
          <w:rFonts w:ascii="宋体" w:hAnsi="宋体" w:hint="eastAsia"/>
          <w:sz w:val="28"/>
          <w:szCs w:val="28"/>
        </w:rPr>
        <w:t>在各地和中拍协的共同努力下，</w:t>
      </w:r>
      <w:r>
        <w:rPr>
          <w:rFonts w:ascii="宋体" w:hAnsi="宋体" w:hint="eastAsia"/>
          <w:sz w:val="28"/>
          <w:szCs w:val="28"/>
        </w:rPr>
        <w:t>目前全国已有</w:t>
      </w:r>
      <w:r w:rsidRPr="00391EDE">
        <w:rPr>
          <w:rFonts w:ascii="宋体" w:hAnsi="宋体"/>
          <w:sz w:val="28"/>
          <w:szCs w:val="28"/>
        </w:rPr>
        <w:t>50</w:t>
      </w:r>
      <w:r>
        <w:rPr>
          <w:rFonts w:ascii="宋体" w:hAnsi="宋体" w:hint="eastAsia"/>
          <w:sz w:val="28"/>
          <w:szCs w:val="28"/>
        </w:rPr>
        <w:t>多</w:t>
      </w:r>
      <w:r w:rsidRPr="00391EDE">
        <w:rPr>
          <w:rFonts w:ascii="宋体" w:hAnsi="宋体" w:hint="eastAsia"/>
          <w:sz w:val="28"/>
          <w:szCs w:val="28"/>
        </w:rPr>
        <w:t>个公共资源拍卖中心先后完成建设，一个全国公共资源拍卖网络初步形成，为全行业贯彻落实司法拍卖“新政”迈出了坚实的第一步，有效带动了司法委托拍卖业务的增长</w:t>
      </w:r>
      <w:r>
        <w:rPr>
          <w:rFonts w:ascii="宋体" w:hAnsi="宋体" w:hint="eastAsia"/>
          <w:sz w:val="28"/>
          <w:szCs w:val="28"/>
        </w:rPr>
        <w:t>，</w:t>
      </w:r>
      <w:r>
        <w:rPr>
          <w:rFonts w:hint="eastAsia"/>
          <w:sz w:val="28"/>
          <w:szCs w:val="28"/>
        </w:rPr>
        <w:t>见图</w:t>
      </w:r>
      <w:r>
        <w:rPr>
          <w:sz w:val="28"/>
          <w:szCs w:val="28"/>
        </w:rPr>
        <w:t>3-2</w:t>
      </w:r>
      <w:r>
        <w:rPr>
          <w:rFonts w:hint="eastAsia"/>
          <w:sz w:val="28"/>
          <w:szCs w:val="28"/>
        </w:rPr>
        <w:t>。</w:t>
      </w:r>
    </w:p>
    <w:p w:rsidR="00F14FA8" w:rsidRPr="001C574C" w:rsidRDefault="00F14FA8" w:rsidP="00750D2E">
      <w:pPr>
        <w:pStyle w:val="ListParagraph"/>
        <w:spacing w:before="100" w:beforeAutospacing="1" w:after="100" w:afterAutospacing="1" w:line="360" w:lineRule="auto"/>
        <w:ind w:firstLineChars="0" w:firstLine="0"/>
        <w:rPr>
          <w:szCs w:val="21"/>
        </w:rPr>
      </w:pPr>
    </w:p>
    <w:p w:rsidR="00F14FA8" w:rsidRDefault="00F14FA8" w:rsidP="00750D2E">
      <w:pPr>
        <w:spacing w:before="100" w:beforeAutospacing="1" w:after="100" w:afterAutospacing="1" w:line="360" w:lineRule="auto"/>
        <w:jc w:val="center"/>
        <w:rPr>
          <w:sz w:val="28"/>
          <w:szCs w:val="28"/>
        </w:rPr>
      </w:pPr>
      <w:r w:rsidRPr="00E10793">
        <w:rPr>
          <w:noProof/>
          <w:sz w:val="28"/>
          <w:szCs w:val="28"/>
        </w:rPr>
        <w:pict>
          <v:shape id="图表 3"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LqaV3AAAAAUBAAAPAAAAZHJzL2Rvd25y&#10;ZXYueG1sTI/dSsNAEIXvBd9hGcE7u7HxN2ZTRBAsiNiaB5gmY5JmdzZkt23q0zt6ozcHDmc455t8&#10;MTmr9jSGzrOBy1kCirjydceNgfLj+eIOVIjINVrPZOBIARbF6UmOWe0PvKL9OjZKSjhkaKCNcci0&#10;DlVLDsPMD8SSffrRYRQ7Nroe8SDlzup5ktxohx3LQosDPbVU9eudM/Deb5O3r9f7l7Jc2aUtt0dc&#10;9p0x52fT4wOoSFP8O4YffEGHQpg2fsd1UNaAPBJ/VbLbeSp2Y+AqTa9BF7n+T19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L5zoBsBAABx&#10;AQAAIAAAAGRycy9jaGFydHMvX3JlbHMvY2hhcnQxLnhtbC5yZWxzhNDLSsNAFAbgveA7DLNvJhcQ&#10;LUm6sUIXIkjdZTMmJxedzISZUdI3qNInUEGKWNzoyoXW4tM0Nbu+grMRLAguD4fz/T/H79UlQ5cg&#10;VSF4gB3Lxgh4LJKCZwE+GR50djFSmvKEMsEhwCNQuBdub/nHwKg2RyovKoWMwlWAc62rLiEqzqGk&#10;yhIVcLNJhSypNqPMSEXjc5oBcW17h8jfBg43TDRIAiwHiYPRcFSZ5P9tkaZFDPsiviiB6z8iiGBw&#10;dHoGsTYolRnoAKcFA1OZ9LvRcj5pp5Pl283Xx337Mo1c2/Ga99dob3U3Xl0/ttOn9WLsNc8PzXy2&#10;XlxFze2n13Gtmqn6xzsUianarzVIThkmoU82HhV+AwAA//8DAFBLAwQUAAYACAAAACEACnMWYKAE&#10;AACVDAAAFQAAAGRycy9jaGFydHMvY2hhcnQxLnhtbKxXT2/bNhS/D9h30ARfLeuf/wmxCydZiwLp&#10;miZtD7vREm1rpUiBohO712KHdehtAbYOGLAO2E47bRi2Ylu+TFysp32FPZKSLKVR0BbzQSEfHx9/&#10;770fH192bqwSYpxgnsWMjkzHsk0D05BFMZ2PzAf3b7YHppEJRCNEGMUjc40z88b4ww92wiBcIC6O&#10;UxRiA4zQLAhH5kKINOh0snCBE5RZLMUU1maMJ0jAlM87EUenYDwhHde2ex1lxMwNoPcwkKCYFvv5&#10;2+xns1kc4n0WLhNMhUbBMUECIpAt4jQzx+BchAR2hrZvnCACcTE7UkgQnWvB40V77xMtzMSaYC11&#10;PS1STskNIhYEq8FKfnkcLsY7KJiyaH3IwSQKSCaOpQE1SaUkPeTyT4RnR0qnU4qUnB9yQ+IYmRqD&#10;kT0GfBBLeTQKxHjz7d87sEeM5VdvkQvbfZi2HxxDVi/t89quUfxc27Hb8PGut5QjQEQcKEQNljd/&#10;/PpWdi4jevXL2etvXmx++urVF19f/P588/T7zc8/bF7+uHnx3euz839++3Lz9LxmWIYK3C4CDQOh&#10;4k7Qmi0FxEdKipSkhIkJx0gnNlcIgynie5LYUgzj/Zjr3IaM6OTOOVumwOBcTJaZwBxHejHDEPEw&#10;iKOVXlZZCQPGI5zbySUaWCb4EZ7JHbPx8QJj4XzUmrRciVNJYX0PwV2SGqnYY0sqtN2ckKkw4KiR&#10;aZtS42RcjZg0cqJcTiUXwmBrTE/UyTDUUEKkXL4K0W7LCVoHLectYDXgAio51j1lYAtJuqThOzl8&#10;rabcv0rNrakBN6sObq15NTW/Sc3fqrnXYOvW1Bqx9Wpqjdj6NbVGbIOtmncNtmFNrRGbU9BD3mjr&#10;3iVw1zAj5wSUQEkvukzeIOtuy5XU2DIWlErG6rK/xyI8voUp5ogoBqnHQEnfYHUDfaAQW71BUyIL&#10;9jgD22qMQcEdp9+1epcicAV1+kPL8e3y5zUeXrAIKrDV7TZBLEjk9IdNKiWBHNvyGgEW/PEd1+r2&#10;mmxt6dOzht3SC9vuN+0omdTvNcew5JHnXjIEHNomXk+K6qLIIzmmKyNa3Y50CfPdgWf7PV8Xzprc&#10;t31/IOWwr1qPgY8TVdBr2hUrWYgIlGbJVsZjeN7Vq67PS2J6B61yqxVFtDpkmVaZaiwiDh8dTEkp&#10;pngl7jO9FnKWZZO8uoMLJVToh+QSzk2hpWCfYp7vkrNa4SZTMiFzqmWh4No4SO/OZhkuirx+1CEI&#10;peMQzSsiUAFRcex9IpC/cQn6jPFbPI4gmjiDRFTeTf1c1FsZgzMhXyHZScLgFN67CRcPYXIklMn/&#10;odEBFKq9eXZ28dezf/98fvHyfPP5k3d4/6UXCaJLRA5UPyDnqztQnXQWcDTHOg3rq4R5yh3LG1R+&#10;w/7HbTffpc3A7fVtr2t7rt0feq7nOwWT62dDVnVbUu9K4BrdTISxLZ0jM6+d0LGxJQ/xQUwf4ajs&#10;Sd+FrJWbcg1Z1dIuFqcY5wSd6on0E2DnHIRRtYWS44dxdpeSdYXpkrtFNwW3CHOKyD4SyODQI41M&#10;fjtSJb9QU/9NjP8DAAD//wMAUEsBAi0AFAAGAAgAAAAhAKTylZEcAQAAXgIAABMAAAAAAAAAAAAA&#10;AAAAAAAAAFtDb250ZW50X1R5cGVzXS54bWxQSwECLQAUAAYACAAAACEAOP0h/9YAAACUAQAACwAA&#10;AAAAAAAAAAAAAABNAQAAX3JlbHMvLnJlbHNQSwECLQAUAAYACAAAACEAcC6mldwAAAAFAQAADwAA&#10;AAAAAAAAAAAAAABMAgAAZHJzL2Rvd25yZXYueG1sUEsBAi0AFAAGAAgAAAAhABmegmMJAQAANAIA&#10;AA4AAAAAAAAAAAAAAAAAVQMAAGRycy9lMm9Eb2MueG1sUEsBAi0AFAAGAAgAAAAhAKsWzUa5AAAA&#10;IgEAABkAAAAAAAAAAAAAAAAAigQAAGRycy9fcmVscy9lMm9Eb2MueG1sLnJlbHNQSwECLQAUAAYA&#10;CAAAACEAxL5zoBsBAABxAQAAIAAAAAAAAAAAAAAAAAB6BQAAZHJzL2NoYXJ0cy9fcmVscy9jaGFy&#10;dDEueG1sLnJlbHNQSwECLQAUAAYACAAAACEACnMWYKAEAACVDAAAFQAAAAAAAAAAAAAAAADTBgAA&#10;ZHJzL2NoYXJ0cy9jaGFydDEueG1sUEsFBgAAAAAHAAcAywEAAKYLAAAAAA==&#10;">
            <v:imagedata r:id="rId9" o:title=""/>
            <o:lock v:ext="edit" aspectratio="f"/>
          </v:shape>
        </w:pict>
      </w:r>
    </w:p>
    <w:p w:rsidR="00F14FA8" w:rsidRDefault="00F14FA8" w:rsidP="00750D2E">
      <w:pPr>
        <w:pStyle w:val="ListParagraph"/>
        <w:spacing w:before="100" w:beforeAutospacing="1" w:after="100" w:afterAutospacing="1" w:line="360" w:lineRule="auto"/>
        <w:ind w:firstLineChars="0" w:firstLine="0"/>
        <w:jc w:val="center"/>
        <w:rPr>
          <w:rFonts w:ascii="宋体"/>
          <w:sz w:val="28"/>
          <w:szCs w:val="28"/>
        </w:rPr>
      </w:pPr>
    </w:p>
    <w:p w:rsidR="00F14FA8" w:rsidRDefault="00F14FA8" w:rsidP="00750D2E">
      <w:pPr>
        <w:pStyle w:val="ListParagraph"/>
        <w:spacing w:before="100" w:beforeAutospacing="1" w:after="100" w:afterAutospacing="1" w:line="360" w:lineRule="auto"/>
        <w:ind w:firstLineChars="0" w:firstLine="0"/>
        <w:jc w:val="center"/>
        <w:rPr>
          <w:rFonts w:ascii="宋体"/>
          <w:sz w:val="28"/>
          <w:szCs w:val="28"/>
        </w:rPr>
      </w:pPr>
      <w:r w:rsidRPr="00E10793">
        <w:rPr>
          <w:rFonts w:ascii="宋体"/>
          <w:noProof/>
          <w:sz w:val="28"/>
          <w:szCs w:val="28"/>
        </w:rPr>
        <w:pict>
          <v:shape id="_x0000_i1028" type="#_x0000_t75" style="width:353.2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F4l22gAAAAUBAAAPAAAAZHJzL2Rvd25y&#10;ZXYueG1sTI/NasMwEITvhb6D2EJvjVTTJMW1HEyhP9BT3D7AxtpYJtbKWHJiv33VXtrLwjDDzLfF&#10;bna9ONMYOs8a7lcKBHHjTcethq/Pl7tHECEiG+w9k4aFAuzK66sCc+MvvKdzHVuRSjjkqMHGOORS&#10;hsaSw7DyA3Hyjn50GJMcW2lGvKRy18tMqY102HFasDjQs6XmVE9OAy1LXWXD++vbVGVb2n9Eb9lo&#10;fXszV08gIs3xLww/+AkdysR08BObIHoN6ZH4e5O3VZs1iIOGB7VWIMtC/qcvvwEAAP//AwBQSwME&#10;FAAGAAgAAAAhAKo1UrYOAQAANAIAAA4AAABkcnMvZTJvRG9jLnhtbJyRTU7DMBCF90jcwZo9dRKk&#10;QKI63URIrNjAAQZ73FhKbGvsErg9pq1QWSF1Nz/SN++92e4+l1l8ECcXvIJ6U4Egr4Nxfq/g7fXp&#10;7hFEyugNzsGTgi9KsBtub7Zr7KkJU5gNsSgQn/o1Kphyjr2USU+0YNqESL4sbeAFc2l5Lw3jWujL&#10;LJuqauUa2EQOmlIq0/G0hOHIt5Z0frE2URZzUdfUXQMiK2irrgXBCh6a+w7Eu4IK5LDFfs8YJ6fP&#10;gvAKPQs6X87/okbMKA7srkDpCTkXlu6P1VmUvpp0BhTb/6ccrHWaxqAPC/l8ipppxlz+nCYXU4mv&#10;d0YBP5v6Jzv5x/FlX+rLZw/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L5zoBsB&#10;AABxAQAAIAAAAGRycy9jaGFydHMvX3JlbHMvY2hhcnQxLnhtbC5yZWxzhNDLSsNAFAbgveA7DLNv&#10;JhcQLUm6sUIXIkjdZTMmJxedzISZUdI3qNInUEGKWNzoyoXW4tM0Nbu+grMRLAguD4fz/T/H79Ul&#10;Q5cgVSF4gB3Lxgh4LJKCZwE+GR50djFSmvKEMsEhwCNQuBdub/nHwKg2RyovKoWMwlWAc62rLiEq&#10;zqGkyhIVcLNJhSypNqPMSEXjc5oBcW17h8jfBg43TDRIAiwHiYPRcFSZ5P9tkaZFDPsiviiB6z8i&#10;iGBwdHoGsTYolRnoAKcFA1OZ9LvRcj5pp5Pl283Xx337Mo1c2/Ga99dob3U3Xl0/ttOn9WLsNc8P&#10;zXy2XlxFze2n13Gtmqn6xzsUianarzVIThkmoU82HhV+AwAA//8DAFBLAwQUAAYACAAAACEAfvXu&#10;xCYEAAAuCwAAFQAAAGRycy9jaGFydHMvY2hhcnQxLnhtbLRWS2/bRhC+F+h/YAhfLYl60BJhMVAU&#10;JA3gNoad5NDbilxJrJe7xHJlS7kWQdoAAXpIgDzQQ9OiPRU9pIfWbdM/IxnJqX+hM7t8WK4tuSmq&#10;A7U7nP04O983s7t9dRoz65DKNBK8azuVmm1RHogw4qOufffOjc22baWK8JAwwWnXntHUvup/+MF2&#10;4AVjItV+QgJqAQhPvaBrj5VKvGo1DcY0JmlFJJTDu6GQMVEwlaNqKMkRgMesWq/V3KoGsTMA8h4A&#10;MYl4vl5eZr0YDqOAXhfBJKZcmSgkZURBBtJxlKS2D5sLiaJOp9a0DgmDvNhVNDLCR8Zwf7zZ/8QY&#10;UzVj1Fi3jEXvCf1VpBjVgyk+ZRSM/W3iDUQ425WASDyWqn1crycJWpJdiX8hHe5pn2ph0na5Ky0M&#10;o2ubECzC1I6eU755dx/Iug/hQmoxFOIpf/HyzTZgKB+fBgJflDjZugInwz2L09hsWOUPPtBeDXvZ&#10;8H79+e3D1/PfHmns1ZCXjXQ1ymUD+/HbxfH3J198NT/+7t2rr09+evL2zedLyMgMZDXnFQZK08zI&#10;TEwUpB8tuQISJlRPUmJklDmAoiJO+1hHaB9JMUmgNoyYTNXJMFMZBe4CLwqn5q3mN/CEDKlcspgY&#10;UiX36BBXDP39MaXKubJxbaPexJi0GRz6BKoUXRLVFxOuDEwm9URZ8K2uXbPR49A/ef303fNXix+e&#10;nHz5bP7Li8Wjb4rUIOah3m2CKgu8EttMdCQwNKEFRG/2vAj7G/WGt/ERPNfH6Zq8nI0ThVlpLDR5&#10;y4HhPs2enGxP4NtZ51svfJ3aOt9G6eus822WvvV1vq3St3G+74qkZ+mGNoZE8kn8D11A1ps666U6&#10;wK1Qh2nefRFS/yblVBKmydEtXVvPKugCZlwgptXqFL9mZx0/Tq3dqLj1YkXnwhU5S223Vam7F+Hm&#10;/DhbrYqrJVbKtlRHwQwSfqFXzkmjvrX8OaCizJ6Z5PrXHCBVppZjIg/y4s2qjkxvhaYMm/W223Sb&#10;WZkv211nS+cYoJb6B1Dd0x1o2b2ESQMCC0YoBCEjOP30oWc+GEf8YzLFosIIS0cy3RWpcRmYklNR&#10;cLAzYIWZ06m6I8y7QIo07WU9CveQxwrXBXxFMygyUeJTKrNVOFvqPmzAemzEjS1Q0oCD9fZwmNK8&#10;U5lDDsItNg4ZPi8DZRCnNvY+GWAmkJh8JuRNGYWY/hRSdqrRmya3fNRbUihspXjRgsERdO2eVPdg&#10;sqc05P9wEYCo9PH/+On8j8d//f5ifvzn4sF/OMBA1DdiZZXdoGtn7QDuHGIiA7oT8QMaFpelfyWT&#10;UqMrZKJfXaPqiNJMGgMzQVZABhn7MDp92uL4XpTe5mx2SmOomvzcBf1SyQm7ThSxJJyxXVveCnVJ&#10;5m76muv/DQAA//8DAFBLAQItABQABgAIAAAAIQCk8pWRHAEAAF4CAAATAAAAAAAAAAAAAAAAAAAA&#10;AABbQ29udGVudF9UeXBlc10ueG1sUEsBAi0AFAAGAAgAAAAhADj9If/WAAAAlAEAAAsAAAAAAAAA&#10;AAAAAAAATQEAAF9yZWxzLy5yZWxzUEsBAi0AFAAGAAgAAAAhABIXiXbaAAAABQEAAA8AAAAAAAAA&#10;AAAAAAAATAIAAGRycy9kb3ducmV2LnhtbFBLAQItABQABgAIAAAAIQCqNVK2DgEAADQCAAAOAAAA&#10;AAAAAAAAAAAAAFMDAABkcnMvZTJvRG9jLnhtbFBLAQItABQABgAIAAAAIQCrFs1GuQAAACIBAAAZ&#10;AAAAAAAAAAAAAAAAAI0EAABkcnMvX3JlbHMvZTJvRG9jLnhtbC5yZWxzUEsBAi0AFAAGAAgAAAAh&#10;AMS+c6AbAQAAcQEAACAAAAAAAAAAAAAAAAAAfQUAAGRycy9jaGFydHMvX3JlbHMvY2hhcnQxLnht&#10;bC5yZWxzUEsBAi0AFAAGAAgAAAAhAH717sQmBAAALgsAABUAAAAAAAAAAAAAAAAA1gYAAGRycy9j&#10;aGFydHMvY2hhcnQxLnhtbFBLBQYAAAAABwAHAMsBAAAvCwAAAAA=&#10;">
            <v:imagedata r:id="rId10" o:title="" cropbottom="-49f"/>
            <o:lock v:ext="edit" aspectratio="f"/>
          </v:shape>
        </w:pict>
      </w:r>
    </w:p>
    <w:p w:rsidR="00F14FA8" w:rsidRDefault="00F14FA8" w:rsidP="00750D2E">
      <w:pPr>
        <w:pStyle w:val="ListParagraph"/>
        <w:spacing w:before="100" w:beforeAutospacing="1" w:after="100" w:afterAutospacing="1" w:line="360" w:lineRule="auto"/>
        <w:ind w:firstLineChars="0" w:firstLine="0"/>
        <w:jc w:val="left"/>
        <w:rPr>
          <w:rFonts w:ascii="黑体" w:eastAsia="黑体"/>
          <w:sz w:val="28"/>
          <w:szCs w:val="28"/>
        </w:rPr>
      </w:pPr>
    </w:p>
    <w:p w:rsidR="00F14FA8" w:rsidRDefault="00F14FA8" w:rsidP="00750D2E">
      <w:pPr>
        <w:pStyle w:val="ListParagraph"/>
        <w:numPr>
          <w:ilvl w:val="0"/>
          <w:numId w:val="2"/>
        </w:numPr>
        <w:tabs>
          <w:tab w:val="left" w:pos="851"/>
        </w:tabs>
        <w:spacing w:before="100" w:beforeAutospacing="1" w:after="100" w:afterAutospacing="1" w:line="360" w:lineRule="auto"/>
        <w:ind w:firstLineChars="0" w:firstLine="207"/>
        <w:jc w:val="left"/>
        <w:rPr>
          <w:rFonts w:ascii="黑体" w:eastAsia="黑体"/>
          <w:sz w:val="28"/>
          <w:szCs w:val="28"/>
        </w:rPr>
      </w:pPr>
      <w:r>
        <w:rPr>
          <w:rFonts w:ascii="黑体" w:eastAsia="黑体" w:hint="eastAsia"/>
          <w:sz w:val="28"/>
          <w:szCs w:val="28"/>
        </w:rPr>
        <w:t>金融机构委托业务寻求新增长</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sz w:val="28"/>
          <w:szCs w:val="28"/>
        </w:rPr>
        <w:t>3</w:t>
      </w:r>
      <w:r>
        <w:rPr>
          <w:rFonts w:ascii="宋体" w:hint="eastAsia"/>
          <w:sz w:val="28"/>
          <w:szCs w:val="28"/>
        </w:rPr>
        <w:t>季度，金融机构委托业务成交</w:t>
      </w:r>
      <w:r>
        <w:rPr>
          <w:rFonts w:ascii="宋体"/>
          <w:sz w:val="28"/>
          <w:szCs w:val="28"/>
        </w:rPr>
        <w:t>87</w:t>
      </w:r>
      <w:r>
        <w:rPr>
          <w:rFonts w:ascii="宋体" w:hint="eastAsia"/>
          <w:sz w:val="28"/>
          <w:szCs w:val="28"/>
        </w:rPr>
        <w:t>亿元，同比和环比都有成倍增长，标的类型主要是房产、股权、债权等和二手机动车。值得关注的是占据业务份额最大的山东省，</w:t>
      </w:r>
      <w:r>
        <w:rPr>
          <w:rFonts w:ascii="宋体"/>
          <w:sz w:val="28"/>
          <w:szCs w:val="28"/>
        </w:rPr>
        <w:t>3</w:t>
      </w:r>
      <w:r>
        <w:rPr>
          <w:rFonts w:ascii="宋体" w:hint="eastAsia"/>
          <w:sz w:val="28"/>
          <w:szCs w:val="28"/>
        </w:rPr>
        <w:t>季度金融机构委托的债权拍卖业务较为活跃。</w:t>
      </w:r>
    </w:p>
    <w:p w:rsidR="00F14FA8" w:rsidRPr="00A464EC" w:rsidRDefault="00F14FA8" w:rsidP="00750D2E">
      <w:pPr>
        <w:pStyle w:val="ListParagraph"/>
        <w:spacing w:before="100" w:beforeAutospacing="1" w:after="100" w:afterAutospacing="1" w:line="360" w:lineRule="auto"/>
        <w:ind w:firstLine="31680"/>
        <w:jc w:val="left"/>
        <w:rPr>
          <w:rFonts w:ascii="宋体"/>
          <w:sz w:val="28"/>
          <w:szCs w:val="28"/>
        </w:rPr>
      </w:pPr>
      <w:r w:rsidRPr="00A464EC">
        <w:rPr>
          <w:rFonts w:ascii="宋体" w:hAnsi="宋体" w:hint="eastAsia"/>
          <w:sz w:val="28"/>
          <w:szCs w:val="28"/>
        </w:rPr>
        <w:t>据了解，年初以来金融机构对山东全省</w:t>
      </w:r>
      <w:r w:rsidRPr="00A464EC">
        <w:rPr>
          <w:rFonts w:ascii="宋体" w:hAnsi="宋体"/>
          <w:sz w:val="28"/>
          <w:szCs w:val="28"/>
        </w:rPr>
        <w:t>700</w:t>
      </w:r>
      <w:r w:rsidRPr="00A464EC">
        <w:rPr>
          <w:rFonts w:ascii="宋体" w:hAnsi="宋体" w:hint="eastAsia"/>
          <w:sz w:val="28"/>
          <w:szCs w:val="28"/>
        </w:rPr>
        <w:t>多亿不良债权进行批量处置，省内资质等级较高、行业诚信较好的拍卖企业以战略合作伙伴的身份，协助金融机构通过拍卖方式</w:t>
      </w:r>
      <w:r>
        <w:rPr>
          <w:rFonts w:ascii="宋体" w:hAnsi="宋体" w:hint="eastAsia"/>
          <w:sz w:val="28"/>
          <w:szCs w:val="28"/>
        </w:rPr>
        <w:t>进行资产处置</w:t>
      </w:r>
      <w:r w:rsidRPr="00A464EC">
        <w:rPr>
          <w:rFonts w:ascii="宋体" w:hAnsi="宋体" w:hint="eastAsia"/>
          <w:sz w:val="28"/>
          <w:szCs w:val="28"/>
        </w:rPr>
        <w:t>，已成功举行近百场专场拍卖，仅</w:t>
      </w:r>
      <w:r w:rsidRPr="00A464EC">
        <w:rPr>
          <w:rFonts w:ascii="宋体" w:hAnsi="宋体"/>
          <w:sz w:val="28"/>
          <w:szCs w:val="28"/>
        </w:rPr>
        <w:t>3</w:t>
      </w:r>
      <w:r w:rsidRPr="00A464EC">
        <w:rPr>
          <w:rFonts w:ascii="宋体" w:hAnsi="宋体" w:hint="eastAsia"/>
          <w:sz w:val="28"/>
          <w:szCs w:val="28"/>
        </w:rPr>
        <w:t>季度举行的专场拍卖就超过</w:t>
      </w:r>
      <w:r w:rsidRPr="00A464EC">
        <w:rPr>
          <w:rFonts w:ascii="宋体" w:hAnsi="宋体"/>
          <w:sz w:val="28"/>
          <w:szCs w:val="28"/>
        </w:rPr>
        <w:t>30</w:t>
      </w:r>
      <w:r w:rsidRPr="00A464EC">
        <w:rPr>
          <w:rFonts w:ascii="宋体" w:hAnsi="宋体" w:hint="eastAsia"/>
          <w:sz w:val="28"/>
          <w:szCs w:val="28"/>
        </w:rPr>
        <w:t>场。银行等金融机构首选拍卖作为处置不良债权的方式，减少</w:t>
      </w:r>
      <w:r>
        <w:rPr>
          <w:rFonts w:ascii="宋体" w:hAnsi="宋体" w:hint="eastAsia"/>
          <w:sz w:val="28"/>
          <w:szCs w:val="28"/>
        </w:rPr>
        <w:t>了</w:t>
      </w:r>
      <w:r w:rsidRPr="00A464EC">
        <w:rPr>
          <w:rFonts w:ascii="宋体" w:hAnsi="宋体" w:hint="eastAsia"/>
          <w:sz w:val="28"/>
          <w:szCs w:val="28"/>
        </w:rPr>
        <w:t>处置的中间环节，降低处置成本</w:t>
      </w:r>
      <w:r>
        <w:rPr>
          <w:rFonts w:ascii="宋体" w:hAnsi="宋体" w:hint="eastAsia"/>
          <w:sz w:val="28"/>
          <w:szCs w:val="28"/>
        </w:rPr>
        <w:t>，</w:t>
      </w:r>
      <w:r w:rsidRPr="00A464EC">
        <w:rPr>
          <w:rFonts w:ascii="宋体" w:hAnsi="宋体" w:hint="eastAsia"/>
          <w:sz w:val="28"/>
          <w:szCs w:val="28"/>
        </w:rPr>
        <w:t>实现</w:t>
      </w:r>
      <w:r>
        <w:rPr>
          <w:rFonts w:ascii="宋体" w:hAnsi="宋体" w:hint="eastAsia"/>
          <w:sz w:val="28"/>
          <w:szCs w:val="28"/>
        </w:rPr>
        <w:t>了</w:t>
      </w:r>
      <w:r w:rsidRPr="00A464EC">
        <w:rPr>
          <w:rFonts w:ascii="宋体" w:hAnsi="宋体" w:hint="eastAsia"/>
          <w:sz w:val="28"/>
          <w:szCs w:val="28"/>
        </w:rPr>
        <w:t>债权</w:t>
      </w:r>
      <w:r>
        <w:rPr>
          <w:rFonts w:ascii="宋体" w:hAnsi="宋体" w:hint="eastAsia"/>
          <w:sz w:val="28"/>
          <w:szCs w:val="28"/>
        </w:rPr>
        <w:t>的直接</w:t>
      </w:r>
      <w:r w:rsidRPr="00A464EC">
        <w:rPr>
          <w:rFonts w:ascii="宋体" w:hAnsi="宋体" w:hint="eastAsia"/>
          <w:sz w:val="28"/>
          <w:szCs w:val="28"/>
        </w:rPr>
        <w:t>变现</w:t>
      </w:r>
      <w:r>
        <w:rPr>
          <w:rFonts w:ascii="宋体" w:hAnsi="宋体" w:hint="eastAsia"/>
          <w:sz w:val="28"/>
          <w:szCs w:val="28"/>
        </w:rPr>
        <w:t>和</w:t>
      </w:r>
      <w:r w:rsidRPr="00A464EC">
        <w:rPr>
          <w:rFonts w:ascii="宋体" w:hAnsi="宋体" w:hint="eastAsia"/>
          <w:sz w:val="28"/>
          <w:szCs w:val="28"/>
        </w:rPr>
        <w:t>转换。</w:t>
      </w:r>
    </w:p>
    <w:p w:rsidR="00F14FA8" w:rsidRDefault="00F14FA8" w:rsidP="00750D2E">
      <w:pPr>
        <w:pStyle w:val="ListParagraph"/>
        <w:spacing w:before="100" w:beforeAutospacing="1" w:after="100" w:afterAutospacing="1" w:line="360" w:lineRule="auto"/>
        <w:ind w:firstLine="31680"/>
        <w:jc w:val="left"/>
        <w:rPr>
          <w:rFonts w:ascii="黑体" w:eastAsia="黑体" w:hAnsi="宋体"/>
          <w:sz w:val="28"/>
          <w:szCs w:val="28"/>
        </w:rPr>
      </w:pPr>
    </w:p>
    <w:p w:rsidR="00F14FA8" w:rsidRDefault="00F14FA8" w:rsidP="00750D2E">
      <w:pPr>
        <w:pStyle w:val="ListParagraph"/>
        <w:spacing w:before="100" w:beforeAutospacing="1" w:after="100" w:afterAutospacing="1" w:line="360" w:lineRule="auto"/>
        <w:ind w:firstLine="31680"/>
        <w:jc w:val="left"/>
        <w:rPr>
          <w:rFonts w:ascii="黑体" w:eastAsia="黑体" w:hAnsi="宋体"/>
          <w:sz w:val="28"/>
          <w:szCs w:val="28"/>
        </w:rPr>
      </w:pPr>
      <w:r w:rsidRPr="00CA6052">
        <w:rPr>
          <w:rFonts w:ascii="黑体" w:eastAsia="黑体" w:hAnsi="宋体" w:hint="eastAsia"/>
          <w:sz w:val="28"/>
          <w:szCs w:val="28"/>
        </w:rPr>
        <w:t>（三）</w:t>
      </w:r>
      <w:r>
        <w:rPr>
          <w:rFonts w:ascii="黑体" w:eastAsia="黑体" w:hAnsi="宋体" w:hint="eastAsia"/>
          <w:sz w:val="28"/>
          <w:szCs w:val="28"/>
        </w:rPr>
        <w:t>区域</w:t>
      </w:r>
      <w:r w:rsidRPr="00CA6052">
        <w:rPr>
          <w:rFonts w:ascii="黑体" w:eastAsia="黑体" w:hAnsi="宋体" w:hint="eastAsia"/>
          <w:sz w:val="28"/>
          <w:szCs w:val="28"/>
        </w:rPr>
        <w:t>分布特点</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sz w:val="28"/>
          <w:szCs w:val="28"/>
        </w:rPr>
        <w:t>3</w:t>
      </w:r>
      <w:r>
        <w:rPr>
          <w:rFonts w:ascii="宋体" w:hAnsi="宋体" w:hint="eastAsia"/>
          <w:sz w:val="28"/>
          <w:szCs w:val="28"/>
        </w:rPr>
        <w:t>季度，东部</w:t>
      </w:r>
      <w:r>
        <w:rPr>
          <w:rFonts w:ascii="宋体" w:hAnsi="宋体"/>
          <w:sz w:val="28"/>
          <w:szCs w:val="28"/>
        </w:rPr>
        <w:t>11</w:t>
      </w:r>
      <w:r>
        <w:rPr>
          <w:rFonts w:ascii="宋体" w:hAnsi="宋体" w:hint="eastAsia"/>
          <w:sz w:val="28"/>
          <w:szCs w:val="28"/>
        </w:rPr>
        <w:t>个省区市累积成交</w:t>
      </w:r>
      <w:r>
        <w:rPr>
          <w:rFonts w:ascii="宋体" w:hAnsi="宋体"/>
          <w:sz w:val="28"/>
          <w:szCs w:val="28"/>
        </w:rPr>
        <w:t>1063.16</w:t>
      </w:r>
      <w:r>
        <w:rPr>
          <w:rFonts w:ascii="宋体" w:hAnsi="宋体" w:hint="eastAsia"/>
          <w:sz w:val="28"/>
          <w:szCs w:val="28"/>
        </w:rPr>
        <w:t>亿元，占比</w:t>
      </w:r>
      <w:r>
        <w:rPr>
          <w:rFonts w:ascii="宋体" w:hAnsi="宋体"/>
          <w:sz w:val="28"/>
          <w:szCs w:val="28"/>
        </w:rPr>
        <w:t>64%</w:t>
      </w:r>
      <w:r>
        <w:rPr>
          <w:rFonts w:ascii="宋体" w:hAnsi="宋体" w:hint="eastAsia"/>
          <w:sz w:val="28"/>
          <w:szCs w:val="28"/>
        </w:rPr>
        <w:t>；中部</w:t>
      </w:r>
      <w:r>
        <w:rPr>
          <w:rFonts w:ascii="宋体" w:hAnsi="宋体"/>
          <w:sz w:val="28"/>
          <w:szCs w:val="28"/>
        </w:rPr>
        <w:t>8</w:t>
      </w:r>
      <w:r>
        <w:rPr>
          <w:rFonts w:ascii="宋体" w:hAnsi="宋体" w:hint="eastAsia"/>
          <w:sz w:val="28"/>
          <w:szCs w:val="28"/>
        </w:rPr>
        <w:t>省市累积成交</w:t>
      </w:r>
      <w:r>
        <w:rPr>
          <w:rFonts w:ascii="宋体" w:hAnsi="宋体"/>
          <w:sz w:val="28"/>
          <w:szCs w:val="28"/>
        </w:rPr>
        <w:t>302.54</w:t>
      </w:r>
      <w:r>
        <w:rPr>
          <w:rFonts w:ascii="宋体" w:hAnsi="宋体" w:hint="eastAsia"/>
          <w:sz w:val="28"/>
          <w:szCs w:val="28"/>
        </w:rPr>
        <w:t>亿元，占比</w:t>
      </w:r>
      <w:r>
        <w:rPr>
          <w:rFonts w:ascii="宋体" w:hAnsi="宋体"/>
          <w:sz w:val="28"/>
          <w:szCs w:val="28"/>
        </w:rPr>
        <w:t>18.2%</w:t>
      </w:r>
      <w:r>
        <w:rPr>
          <w:rFonts w:ascii="宋体" w:hAnsi="宋体" w:hint="eastAsia"/>
          <w:sz w:val="28"/>
          <w:szCs w:val="28"/>
        </w:rPr>
        <w:t>；西部</w:t>
      </w:r>
      <w:r>
        <w:rPr>
          <w:rFonts w:ascii="宋体" w:hAnsi="宋体"/>
          <w:sz w:val="28"/>
          <w:szCs w:val="28"/>
        </w:rPr>
        <w:t>12</w:t>
      </w:r>
      <w:r>
        <w:rPr>
          <w:rFonts w:ascii="宋体" w:hAnsi="宋体" w:hint="eastAsia"/>
          <w:sz w:val="28"/>
          <w:szCs w:val="28"/>
        </w:rPr>
        <w:t>省市累积成交</w:t>
      </w:r>
      <w:r>
        <w:rPr>
          <w:rFonts w:ascii="宋体" w:hAnsi="宋体"/>
          <w:sz w:val="28"/>
          <w:szCs w:val="28"/>
        </w:rPr>
        <w:t>295</w:t>
      </w:r>
      <w:r>
        <w:rPr>
          <w:rFonts w:ascii="宋体" w:hAnsi="宋体" w:hint="eastAsia"/>
          <w:sz w:val="28"/>
          <w:szCs w:val="28"/>
        </w:rPr>
        <w:t>亿元，占比</w:t>
      </w:r>
      <w:r>
        <w:rPr>
          <w:rFonts w:ascii="宋体" w:hAnsi="宋体"/>
          <w:sz w:val="28"/>
          <w:szCs w:val="28"/>
        </w:rPr>
        <w:t>17.8%</w:t>
      </w:r>
      <w:r w:rsidRPr="00597546">
        <w:rPr>
          <w:rFonts w:ascii="宋体" w:hAnsi="宋体" w:hint="eastAsia"/>
          <w:sz w:val="28"/>
          <w:szCs w:val="28"/>
        </w:rPr>
        <w:t>，见表</w:t>
      </w:r>
      <w:r w:rsidRPr="00597546">
        <w:rPr>
          <w:rFonts w:ascii="宋体" w:hAnsi="宋体"/>
          <w:sz w:val="28"/>
          <w:szCs w:val="28"/>
        </w:rPr>
        <w:t>3-3</w:t>
      </w:r>
      <w:r w:rsidRPr="00597546">
        <w:rPr>
          <w:rFonts w:ascii="宋体" w:hAnsi="宋体" w:hint="eastAsia"/>
          <w:sz w:val="28"/>
          <w:szCs w:val="28"/>
        </w:rPr>
        <w:t>。</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r>
        <w:rPr>
          <w:rFonts w:ascii="宋体" w:hAnsi="宋体" w:hint="eastAsia"/>
          <w:sz w:val="28"/>
          <w:szCs w:val="28"/>
        </w:rPr>
        <w:t>从各省区市成交额情况对比观察，</w:t>
      </w:r>
      <w:r>
        <w:rPr>
          <w:rFonts w:ascii="宋体" w:hAnsi="宋体"/>
          <w:sz w:val="28"/>
          <w:szCs w:val="28"/>
        </w:rPr>
        <w:t>3</w:t>
      </w:r>
      <w:r>
        <w:rPr>
          <w:rFonts w:ascii="宋体" w:hAnsi="宋体" w:hint="eastAsia"/>
          <w:sz w:val="28"/>
          <w:szCs w:val="28"/>
        </w:rPr>
        <w:t>季度，东、中、西部地区成交额比例相对稳定，以山东、浙江为代表的东部地区增速较快，中西部地区成交额略有回调。另外，西部地区拍卖业务容易受政策层面影响产生波动，青海、西藏等拍卖业务落后省份常出现业务波动幅度大，成交额不稳定的现象。</w:t>
      </w: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31680"/>
        <w:jc w:val="left"/>
        <w:rPr>
          <w:rFonts w:ascii="宋体"/>
          <w:sz w:val="28"/>
          <w:szCs w:val="28"/>
        </w:rPr>
      </w:pPr>
    </w:p>
    <w:p w:rsidR="00F14FA8" w:rsidRDefault="00F14FA8" w:rsidP="00750D2E">
      <w:pPr>
        <w:pStyle w:val="ListParagraph"/>
        <w:spacing w:before="100" w:beforeAutospacing="1" w:after="100" w:afterAutospacing="1" w:line="360" w:lineRule="auto"/>
        <w:ind w:firstLineChars="0" w:firstLine="0"/>
        <w:jc w:val="center"/>
        <w:rPr>
          <w:rFonts w:ascii="宋体"/>
          <w:b/>
          <w:sz w:val="24"/>
          <w:szCs w:val="24"/>
        </w:rPr>
      </w:pPr>
    </w:p>
    <w:p w:rsidR="00F14FA8" w:rsidRDefault="00F14FA8" w:rsidP="00750D2E">
      <w:pPr>
        <w:pStyle w:val="ListParagraph"/>
        <w:spacing w:before="100" w:beforeAutospacing="1" w:after="100" w:afterAutospacing="1" w:line="360" w:lineRule="auto"/>
        <w:ind w:firstLineChars="0" w:firstLine="0"/>
        <w:jc w:val="center"/>
        <w:rPr>
          <w:rFonts w:ascii="宋体"/>
          <w:b/>
          <w:sz w:val="24"/>
          <w:szCs w:val="24"/>
        </w:rPr>
      </w:pPr>
      <w:r w:rsidRPr="00597546">
        <w:rPr>
          <w:rFonts w:ascii="宋体" w:hAnsi="宋体" w:hint="eastAsia"/>
          <w:b/>
          <w:sz w:val="24"/>
          <w:szCs w:val="24"/>
        </w:rPr>
        <w:t>表</w:t>
      </w:r>
      <w:r w:rsidRPr="00597546">
        <w:rPr>
          <w:rFonts w:ascii="宋体" w:hAnsi="宋体"/>
          <w:b/>
          <w:sz w:val="24"/>
          <w:szCs w:val="24"/>
        </w:rPr>
        <w:t>3-3  2013</w:t>
      </w:r>
      <w:r w:rsidRPr="00597546">
        <w:rPr>
          <w:rFonts w:ascii="宋体" w:hAnsi="宋体" w:hint="eastAsia"/>
          <w:b/>
          <w:sz w:val="24"/>
          <w:szCs w:val="24"/>
        </w:rPr>
        <w:t>年</w:t>
      </w:r>
      <w:r w:rsidRPr="00597546">
        <w:rPr>
          <w:rFonts w:ascii="宋体" w:hAnsi="宋体"/>
          <w:b/>
          <w:sz w:val="24"/>
          <w:szCs w:val="24"/>
        </w:rPr>
        <w:t>3</w:t>
      </w:r>
      <w:r w:rsidRPr="00597546">
        <w:rPr>
          <w:rFonts w:ascii="宋体" w:hAnsi="宋体" w:hint="eastAsia"/>
          <w:b/>
          <w:sz w:val="24"/>
          <w:szCs w:val="24"/>
        </w:rPr>
        <w:t>季度各省市成交额情况表</w:t>
      </w:r>
      <w:r w:rsidRPr="00597546">
        <w:rPr>
          <w:rFonts w:ascii="宋体" w:hAnsi="宋体"/>
          <w:b/>
          <w:sz w:val="24"/>
          <w:szCs w:val="24"/>
        </w:rPr>
        <w:t xml:space="preserve">   </w:t>
      </w:r>
      <w:r w:rsidRPr="00597546">
        <w:rPr>
          <w:rFonts w:ascii="宋体" w:hAnsi="宋体" w:hint="eastAsia"/>
          <w:b/>
          <w:sz w:val="24"/>
          <w:szCs w:val="24"/>
        </w:rPr>
        <w:t>单位：亿元</w:t>
      </w:r>
    </w:p>
    <w:p w:rsidR="00F14FA8" w:rsidRPr="00597546" w:rsidRDefault="00F14FA8" w:rsidP="00750D2E">
      <w:pPr>
        <w:pStyle w:val="ListParagraph"/>
        <w:spacing w:before="100" w:beforeAutospacing="1" w:after="100" w:afterAutospacing="1" w:line="360" w:lineRule="auto"/>
        <w:ind w:firstLineChars="0" w:firstLine="0"/>
        <w:jc w:val="center"/>
        <w:rPr>
          <w:rFonts w:ascii="宋体"/>
          <w:b/>
          <w:sz w:val="24"/>
          <w:szCs w:val="24"/>
        </w:rPr>
      </w:pPr>
    </w:p>
    <w:tbl>
      <w:tblPr>
        <w:tblW w:w="6951" w:type="dxa"/>
        <w:jc w:val="center"/>
        <w:tblInd w:w="-318" w:type="dxa"/>
        <w:tblLook w:val="00A0"/>
      </w:tblPr>
      <w:tblGrid>
        <w:gridCol w:w="1411"/>
        <w:gridCol w:w="1900"/>
        <w:gridCol w:w="1820"/>
        <w:gridCol w:w="1820"/>
      </w:tblGrid>
      <w:tr w:rsidR="00F14FA8" w:rsidRPr="00597546" w:rsidTr="00597546">
        <w:trPr>
          <w:trHeight w:val="345"/>
          <w:jc w:val="center"/>
        </w:trPr>
        <w:tc>
          <w:tcPr>
            <w:tcW w:w="1411" w:type="dxa"/>
            <w:tcBorders>
              <w:top w:val="single" w:sz="4" w:space="0" w:color="auto"/>
              <w:left w:val="single" w:sz="4" w:space="0" w:color="auto"/>
              <w:bottom w:val="single" w:sz="4" w:space="0" w:color="auto"/>
              <w:right w:val="single" w:sz="4" w:space="0" w:color="auto"/>
            </w:tcBorders>
            <w:noWrap/>
            <w:vAlign w:val="center"/>
          </w:tcPr>
          <w:p w:rsidR="00F14FA8" w:rsidRPr="00597546" w:rsidRDefault="00F14FA8" w:rsidP="00750D2E">
            <w:pPr>
              <w:widowControl/>
              <w:spacing w:before="100" w:beforeAutospacing="1" w:after="100" w:afterAutospacing="1" w:line="360" w:lineRule="auto"/>
              <w:jc w:val="center"/>
              <w:rPr>
                <w:rFonts w:ascii="宋体" w:cs="宋体"/>
                <w:b/>
                <w:bCs/>
                <w:kern w:val="0"/>
                <w:sz w:val="20"/>
                <w:szCs w:val="20"/>
              </w:rPr>
            </w:pPr>
            <w:r w:rsidRPr="00597546">
              <w:rPr>
                <w:rFonts w:ascii="宋体" w:hAnsi="宋体" w:cs="宋体" w:hint="eastAsia"/>
                <w:b/>
                <w:bCs/>
                <w:kern w:val="0"/>
                <w:sz w:val="20"/>
                <w:szCs w:val="20"/>
              </w:rPr>
              <w:t>经济区</w:t>
            </w:r>
          </w:p>
        </w:tc>
        <w:tc>
          <w:tcPr>
            <w:tcW w:w="1900" w:type="dxa"/>
            <w:tcBorders>
              <w:top w:val="single" w:sz="4" w:space="0" w:color="auto"/>
              <w:left w:val="nil"/>
              <w:bottom w:val="single" w:sz="4" w:space="0" w:color="auto"/>
              <w:right w:val="single" w:sz="4" w:space="0" w:color="auto"/>
            </w:tcBorders>
            <w:noWrap/>
            <w:vAlign w:val="center"/>
          </w:tcPr>
          <w:p w:rsidR="00F14FA8" w:rsidRPr="00597546" w:rsidRDefault="00F14FA8" w:rsidP="00750D2E">
            <w:pPr>
              <w:widowControl/>
              <w:spacing w:before="100" w:beforeAutospacing="1" w:after="100" w:afterAutospacing="1" w:line="360" w:lineRule="auto"/>
              <w:jc w:val="center"/>
              <w:rPr>
                <w:rFonts w:ascii="宋体" w:cs="宋体"/>
                <w:b/>
                <w:bCs/>
                <w:kern w:val="0"/>
                <w:sz w:val="20"/>
                <w:szCs w:val="20"/>
              </w:rPr>
            </w:pPr>
            <w:r w:rsidRPr="00597546">
              <w:rPr>
                <w:rFonts w:ascii="宋体" w:hAnsi="宋体" w:cs="宋体" w:hint="eastAsia"/>
                <w:b/>
                <w:bCs/>
                <w:kern w:val="0"/>
                <w:sz w:val="20"/>
                <w:szCs w:val="20"/>
              </w:rPr>
              <w:t>省区市</w:t>
            </w:r>
          </w:p>
        </w:tc>
        <w:tc>
          <w:tcPr>
            <w:tcW w:w="1820" w:type="dxa"/>
            <w:tcBorders>
              <w:top w:val="single" w:sz="4" w:space="0" w:color="auto"/>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b/>
                <w:bCs/>
                <w:kern w:val="0"/>
                <w:sz w:val="20"/>
                <w:szCs w:val="20"/>
              </w:rPr>
            </w:pPr>
            <w:r w:rsidRPr="00597546">
              <w:rPr>
                <w:rFonts w:ascii="宋体" w:hAnsi="宋体" w:cs="宋体"/>
                <w:b/>
                <w:bCs/>
                <w:kern w:val="0"/>
                <w:sz w:val="20"/>
                <w:szCs w:val="20"/>
              </w:rPr>
              <w:t>2013</w:t>
            </w:r>
            <w:r w:rsidRPr="00597546">
              <w:rPr>
                <w:rFonts w:ascii="宋体" w:hAnsi="宋体" w:cs="宋体" w:hint="eastAsia"/>
                <w:b/>
                <w:bCs/>
                <w:kern w:val="0"/>
                <w:sz w:val="20"/>
                <w:szCs w:val="20"/>
              </w:rPr>
              <w:t>年</w:t>
            </w:r>
            <w:r w:rsidRPr="00597546">
              <w:rPr>
                <w:rFonts w:ascii="宋体" w:hAnsi="宋体" w:cs="宋体"/>
                <w:b/>
                <w:bCs/>
                <w:kern w:val="0"/>
                <w:sz w:val="20"/>
                <w:szCs w:val="20"/>
              </w:rPr>
              <w:t>3</w:t>
            </w:r>
            <w:r w:rsidRPr="00597546">
              <w:rPr>
                <w:rFonts w:ascii="宋体" w:hAnsi="宋体" w:cs="宋体" w:hint="eastAsia"/>
                <w:b/>
                <w:bCs/>
                <w:kern w:val="0"/>
                <w:sz w:val="20"/>
                <w:szCs w:val="20"/>
              </w:rPr>
              <w:t>季度</w:t>
            </w:r>
          </w:p>
        </w:tc>
        <w:tc>
          <w:tcPr>
            <w:tcW w:w="1820" w:type="dxa"/>
            <w:tcBorders>
              <w:top w:val="single" w:sz="4" w:space="0" w:color="auto"/>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b/>
                <w:bCs/>
                <w:kern w:val="0"/>
                <w:sz w:val="20"/>
                <w:szCs w:val="20"/>
              </w:rPr>
            </w:pPr>
            <w:r w:rsidRPr="00597546">
              <w:rPr>
                <w:rFonts w:ascii="宋体" w:hAnsi="宋体" w:cs="宋体" w:hint="eastAsia"/>
                <w:b/>
                <w:bCs/>
                <w:kern w:val="0"/>
                <w:sz w:val="20"/>
                <w:szCs w:val="20"/>
              </w:rPr>
              <w:t>所占比例</w:t>
            </w:r>
          </w:p>
        </w:tc>
      </w:tr>
      <w:tr w:rsidR="00F14FA8" w:rsidRPr="00597546" w:rsidTr="00597546">
        <w:trPr>
          <w:trHeight w:val="345"/>
          <w:jc w:val="center"/>
        </w:trPr>
        <w:tc>
          <w:tcPr>
            <w:tcW w:w="1411" w:type="dxa"/>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全国</w:t>
            </w: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全国</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 xml:space="preserve">16607158.39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100.00%</w:t>
            </w:r>
          </w:p>
        </w:tc>
      </w:tr>
      <w:tr w:rsidR="00F14FA8" w:rsidRPr="00597546" w:rsidTr="00597546">
        <w:trPr>
          <w:trHeight w:val="345"/>
          <w:jc w:val="center"/>
        </w:trPr>
        <w:tc>
          <w:tcPr>
            <w:tcW w:w="1411" w:type="dxa"/>
            <w:vMerge w:val="restart"/>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东部地区</w:t>
            </w: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北京市</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454102.959</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2.73%</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天津市</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263928.114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1.59%</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河北省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362802.724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2.18%</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辽宁省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718602.652</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4.33%</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上海市</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716102.325</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4.31%</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江苏省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698452.752</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4.21%</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浙江省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2378967.204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14.32%</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福建省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720921.803</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4.34%</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山东省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3095021.712</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18.64%</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广东省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673832.847</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4.06%</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海南省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548912.055</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3.31%</w:t>
            </w:r>
          </w:p>
        </w:tc>
      </w:tr>
      <w:tr w:rsidR="00F14FA8" w:rsidRPr="00597546" w:rsidTr="00597546">
        <w:trPr>
          <w:trHeight w:val="345"/>
          <w:jc w:val="center"/>
        </w:trPr>
        <w:tc>
          <w:tcPr>
            <w:tcW w:w="3311"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合计</w:t>
            </w:r>
          </w:p>
        </w:tc>
        <w:tc>
          <w:tcPr>
            <w:tcW w:w="1820" w:type="dxa"/>
            <w:tcBorders>
              <w:top w:val="nil"/>
              <w:left w:val="nil"/>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 xml:space="preserve">10631647.15 </w:t>
            </w:r>
          </w:p>
        </w:tc>
        <w:tc>
          <w:tcPr>
            <w:tcW w:w="1820" w:type="dxa"/>
            <w:tcBorders>
              <w:top w:val="nil"/>
              <w:left w:val="nil"/>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64.02%</w:t>
            </w:r>
          </w:p>
        </w:tc>
      </w:tr>
      <w:tr w:rsidR="00F14FA8" w:rsidRPr="00597546" w:rsidTr="00597546">
        <w:trPr>
          <w:trHeight w:val="345"/>
          <w:jc w:val="center"/>
        </w:trPr>
        <w:tc>
          <w:tcPr>
            <w:tcW w:w="1411" w:type="dxa"/>
            <w:vMerge w:val="restart"/>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中部地区</w:t>
            </w: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山西省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65581.16</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0.39%</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吉林省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106656.107</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0.64%</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黑龙江省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125463.384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0.76%</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安徽省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1078467.31</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6.49%</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江西省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146762.8</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0.88%</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河南省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242315.199</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1.46%</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湖北省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863671.688</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5.20%</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湖南省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396504.02</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2.39%</w:t>
            </w:r>
          </w:p>
        </w:tc>
      </w:tr>
      <w:tr w:rsidR="00F14FA8" w:rsidRPr="00597546" w:rsidTr="00597546">
        <w:trPr>
          <w:trHeight w:val="345"/>
          <w:jc w:val="center"/>
        </w:trPr>
        <w:tc>
          <w:tcPr>
            <w:tcW w:w="3311"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合计</w:t>
            </w:r>
          </w:p>
        </w:tc>
        <w:tc>
          <w:tcPr>
            <w:tcW w:w="1820" w:type="dxa"/>
            <w:tcBorders>
              <w:top w:val="nil"/>
              <w:left w:val="nil"/>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3025421.668</w:t>
            </w:r>
          </w:p>
        </w:tc>
        <w:tc>
          <w:tcPr>
            <w:tcW w:w="1820" w:type="dxa"/>
            <w:tcBorders>
              <w:top w:val="nil"/>
              <w:left w:val="nil"/>
              <w:bottom w:val="single" w:sz="4" w:space="0" w:color="auto"/>
              <w:right w:val="single" w:sz="4" w:space="0" w:color="auto"/>
            </w:tcBorders>
            <w:shd w:val="clear" w:color="000000" w:fill="D8D8D8"/>
            <w:noWrap/>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18.21%</w:t>
            </w:r>
          </w:p>
        </w:tc>
      </w:tr>
      <w:tr w:rsidR="00F14FA8" w:rsidRPr="00597546" w:rsidTr="00597546">
        <w:trPr>
          <w:trHeight w:val="345"/>
          <w:jc w:val="center"/>
        </w:trPr>
        <w:tc>
          <w:tcPr>
            <w:tcW w:w="1411" w:type="dxa"/>
            <w:vMerge w:val="restart"/>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西部地区</w:t>
            </w: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内蒙古自治区</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55384.847</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0.33%</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广西壮族自治区</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229909.424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1.38%</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重庆市</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495448.727</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2.98%</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四川省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1240388.267</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7.47%</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贵州省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85962.316</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0.52%</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云南省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287034.674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1.73%</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西藏自治区</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1089.8</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0.01%</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陕西省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109116.223</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0.66%</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甘肃省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253461.296</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1.53%</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青海省</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9734.5</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0.06%</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宁夏回族自治区</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82889.259</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0.50%</w:t>
            </w:r>
          </w:p>
        </w:tc>
      </w:tr>
      <w:tr w:rsidR="00F14FA8" w:rsidRPr="00597546" w:rsidTr="00597546">
        <w:trPr>
          <w:trHeight w:val="345"/>
          <w:jc w:val="center"/>
        </w:trPr>
        <w:tc>
          <w:tcPr>
            <w:tcW w:w="1411" w:type="dxa"/>
            <w:vMerge/>
            <w:tcBorders>
              <w:top w:val="nil"/>
              <w:left w:val="single" w:sz="4" w:space="0" w:color="auto"/>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left"/>
              <w:rPr>
                <w:rFonts w:ascii="宋体" w:cs="宋体"/>
                <w:kern w:val="0"/>
                <w:sz w:val="20"/>
                <w:szCs w:val="20"/>
              </w:rPr>
            </w:pPr>
          </w:p>
        </w:tc>
        <w:tc>
          <w:tcPr>
            <w:tcW w:w="190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新疆维吾尔自治区</w:t>
            </w:r>
            <w:r w:rsidRPr="00597546">
              <w:rPr>
                <w:rFonts w:ascii="宋体" w:hAnsi="宋体" w:cs="宋体"/>
                <w:kern w:val="0"/>
                <w:sz w:val="20"/>
                <w:szCs w:val="20"/>
              </w:rPr>
              <w:t xml:space="preserve"> </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99670.24</w:t>
            </w:r>
          </w:p>
        </w:tc>
        <w:tc>
          <w:tcPr>
            <w:tcW w:w="1820" w:type="dxa"/>
            <w:tcBorders>
              <w:top w:val="nil"/>
              <w:left w:val="nil"/>
              <w:bottom w:val="single" w:sz="4" w:space="0" w:color="auto"/>
              <w:right w:val="single" w:sz="4" w:space="0" w:color="auto"/>
            </w:tcBorders>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0.60%</w:t>
            </w:r>
          </w:p>
        </w:tc>
      </w:tr>
      <w:tr w:rsidR="00F14FA8" w:rsidRPr="00597546" w:rsidTr="00597546">
        <w:trPr>
          <w:trHeight w:val="345"/>
          <w:jc w:val="center"/>
        </w:trPr>
        <w:tc>
          <w:tcPr>
            <w:tcW w:w="3311"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hint="eastAsia"/>
                <w:kern w:val="0"/>
                <w:sz w:val="20"/>
                <w:szCs w:val="20"/>
              </w:rPr>
              <w:t>合计</w:t>
            </w:r>
          </w:p>
        </w:tc>
        <w:tc>
          <w:tcPr>
            <w:tcW w:w="1820" w:type="dxa"/>
            <w:tcBorders>
              <w:top w:val="nil"/>
              <w:left w:val="nil"/>
              <w:bottom w:val="single" w:sz="4" w:space="0" w:color="auto"/>
              <w:right w:val="single" w:sz="4" w:space="0" w:color="auto"/>
            </w:tcBorders>
            <w:shd w:val="clear" w:color="000000" w:fill="D8D8D8"/>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2950089.573</w:t>
            </w:r>
          </w:p>
        </w:tc>
        <w:tc>
          <w:tcPr>
            <w:tcW w:w="1820" w:type="dxa"/>
            <w:tcBorders>
              <w:top w:val="nil"/>
              <w:left w:val="nil"/>
              <w:bottom w:val="single" w:sz="4" w:space="0" w:color="auto"/>
              <w:right w:val="single" w:sz="4" w:space="0" w:color="auto"/>
            </w:tcBorders>
            <w:shd w:val="clear" w:color="000000" w:fill="D8D8D8"/>
            <w:vAlign w:val="center"/>
          </w:tcPr>
          <w:p w:rsidR="00F14FA8" w:rsidRPr="00597546" w:rsidRDefault="00F14FA8" w:rsidP="00750D2E">
            <w:pPr>
              <w:widowControl/>
              <w:spacing w:before="100" w:beforeAutospacing="1" w:after="100" w:afterAutospacing="1" w:line="360" w:lineRule="auto"/>
              <w:jc w:val="center"/>
              <w:rPr>
                <w:rFonts w:ascii="宋体" w:cs="宋体"/>
                <w:kern w:val="0"/>
                <w:sz w:val="20"/>
                <w:szCs w:val="20"/>
              </w:rPr>
            </w:pPr>
            <w:r w:rsidRPr="00597546">
              <w:rPr>
                <w:rFonts w:ascii="宋体" w:hAnsi="宋体" w:cs="宋体"/>
                <w:kern w:val="0"/>
                <w:sz w:val="20"/>
                <w:szCs w:val="20"/>
              </w:rPr>
              <w:t>17.77%</w:t>
            </w:r>
          </w:p>
        </w:tc>
      </w:tr>
    </w:tbl>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jc w:val="left"/>
      </w:pPr>
    </w:p>
    <w:p w:rsidR="00F14FA8" w:rsidRDefault="00F14FA8" w:rsidP="00750D2E">
      <w:pPr>
        <w:pStyle w:val="ListParagraph"/>
        <w:spacing w:before="100" w:beforeAutospacing="1" w:after="100" w:afterAutospacing="1" w:line="360" w:lineRule="auto"/>
        <w:ind w:firstLineChars="0" w:firstLine="0"/>
        <w:jc w:val="left"/>
        <w:rPr>
          <w:rFonts w:ascii="宋体"/>
          <w:color w:val="FF0000"/>
          <w:sz w:val="28"/>
          <w:szCs w:val="28"/>
        </w:rPr>
      </w:pPr>
    </w:p>
    <w:p w:rsidR="00F14FA8" w:rsidRDefault="00F14FA8" w:rsidP="00750D2E">
      <w:pPr>
        <w:spacing w:before="100" w:beforeAutospacing="1" w:after="100" w:afterAutospacing="1" w:line="360" w:lineRule="auto"/>
      </w:pPr>
    </w:p>
    <w:sectPr w:rsidR="00F14FA8" w:rsidSect="0077003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A8" w:rsidRDefault="00F14FA8" w:rsidP="00610135">
      <w:r>
        <w:separator/>
      </w:r>
    </w:p>
  </w:endnote>
  <w:endnote w:type="continuationSeparator" w:id="0">
    <w:p w:rsidR="00F14FA8" w:rsidRDefault="00F14FA8" w:rsidP="0061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rsidP="00813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4FA8" w:rsidRDefault="00F14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rsidP="00813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4FA8" w:rsidRDefault="00F14F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A8" w:rsidRDefault="00F14FA8" w:rsidP="00610135">
      <w:r>
        <w:separator/>
      </w:r>
    </w:p>
  </w:footnote>
  <w:footnote w:type="continuationSeparator" w:id="0">
    <w:p w:rsidR="00F14FA8" w:rsidRDefault="00F14FA8" w:rsidP="0061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rsidP="00C1091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A8" w:rsidRDefault="00F14F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656C"/>
    <w:multiLevelType w:val="hybridMultilevel"/>
    <w:tmpl w:val="D27EAA98"/>
    <w:lvl w:ilvl="0" w:tplc="61B0F50E">
      <w:start w:val="1"/>
      <w:numFmt w:val="decimal"/>
      <w:lvlText w:val="%1."/>
      <w:lvlJc w:val="left"/>
      <w:pPr>
        <w:tabs>
          <w:tab w:val="num" w:pos="360"/>
        </w:tabs>
        <w:ind w:left="360" w:hanging="36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CA2489B"/>
    <w:multiLevelType w:val="hybridMultilevel"/>
    <w:tmpl w:val="745EB4AE"/>
    <w:lvl w:ilvl="0" w:tplc="9026AA58">
      <w:start w:val="2"/>
      <w:numFmt w:val="japaneseCounting"/>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35"/>
    <w:rsid w:val="000008E4"/>
    <w:rsid w:val="000420A3"/>
    <w:rsid w:val="00045030"/>
    <w:rsid w:val="00081F51"/>
    <w:rsid w:val="000930D8"/>
    <w:rsid w:val="000957DF"/>
    <w:rsid w:val="000B2EB3"/>
    <w:rsid w:val="000B765B"/>
    <w:rsid w:val="000C1461"/>
    <w:rsid w:val="00104847"/>
    <w:rsid w:val="00155D0C"/>
    <w:rsid w:val="00183BB7"/>
    <w:rsid w:val="001B1FA9"/>
    <w:rsid w:val="001B7285"/>
    <w:rsid w:val="001C574C"/>
    <w:rsid w:val="001E6998"/>
    <w:rsid w:val="001F4983"/>
    <w:rsid w:val="001F6D15"/>
    <w:rsid w:val="001F6F20"/>
    <w:rsid w:val="00247FEB"/>
    <w:rsid w:val="00263CAE"/>
    <w:rsid w:val="00282297"/>
    <w:rsid w:val="0029776F"/>
    <w:rsid w:val="002A1D06"/>
    <w:rsid w:val="002E5FA7"/>
    <w:rsid w:val="0034181D"/>
    <w:rsid w:val="00362B8D"/>
    <w:rsid w:val="00363211"/>
    <w:rsid w:val="003777CB"/>
    <w:rsid w:val="00377D7F"/>
    <w:rsid w:val="00391EDE"/>
    <w:rsid w:val="00396822"/>
    <w:rsid w:val="003C3181"/>
    <w:rsid w:val="003E2717"/>
    <w:rsid w:val="003E4AFC"/>
    <w:rsid w:val="003F3A6C"/>
    <w:rsid w:val="00421CD9"/>
    <w:rsid w:val="004346D8"/>
    <w:rsid w:val="00472C7E"/>
    <w:rsid w:val="00480EA4"/>
    <w:rsid w:val="004F1928"/>
    <w:rsid w:val="00512149"/>
    <w:rsid w:val="0052275B"/>
    <w:rsid w:val="005367CA"/>
    <w:rsid w:val="00545FCF"/>
    <w:rsid w:val="0059291F"/>
    <w:rsid w:val="00597546"/>
    <w:rsid w:val="005E79A4"/>
    <w:rsid w:val="006004DF"/>
    <w:rsid w:val="00605862"/>
    <w:rsid w:val="00610135"/>
    <w:rsid w:val="0064762B"/>
    <w:rsid w:val="00671D6B"/>
    <w:rsid w:val="0068156E"/>
    <w:rsid w:val="006948B8"/>
    <w:rsid w:val="006A29EC"/>
    <w:rsid w:val="006B3049"/>
    <w:rsid w:val="006C446B"/>
    <w:rsid w:val="006D54C4"/>
    <w:rsid w:val="006E056C"/>
    <w:rsid w:val="006E5D5D"/>
    <w:rsid w:val="006F14ED"/>
    <w:rsid w:val="006F2974"/>
    <w:rsid w:val="006F2EE7"/>
    <w:rsid w:val="00706614"/>
    <w:rsid w:val="0074048C"/>
    <w:rsid w:val="00740813"/>
    <w:rsid w:val="00750D2E"/>
    <w:rsid w:val="00765E79"/>
    <w:rsid w:val="0077003D"/>
    <w:rsid w:val="00770BE6"/>
    <w:rsid w:val="00773B34"/>
    <w:rsid w:val="007A1E58"/>
    <w:rsid w:val="007C08A1"/>
    <w:rsid w:val="007D77C1"/>
    <w:rsid w:val="008137B2"/>
    <w:rsid w:val="0082041C"/>
    <w:rsid w:val="00826011"/>
    <w:rsid w:val="008416C6"/>
    <w:rsid w:val="00860308"/>
    <w:rsid w:val="008713C7"/>
    <w:rsid w:val="008A60B2"/>
    <w:rsid w:val="008B61DA"/>
    <w:rsid w:val="00913336"/>
    <w:rsid w:val="00954922"/>
    <w:rsid w:val="00954DA1"/>
    <w:rsid w:val="00972ECB"/>
    <w:rsid w:val="00981CD9"/>
    <w:rsid w:val="00982E9B"/>
    <w:rsid w:val="009859B3"/>
    <w:rsid w:val="0098740C"/>
    <w:rsid w:val="009B2FA4"/>
    <w:rsid w:val="009C18E0"/>
    <w:rsid w:val="009C567B"/>
    <w:rsid w:val="009E7A56"/>
    <w:rsid w:val="00A0745A"/>
    <w:rsid w:val="00A13126"/>
    <w:rsid w:val="00A34BCD"/>
    <w:rsid w:val="00A464EC"/>
    <w:rsid w:val="00A56FF3"/>
    <w:rsid w:val="00A7188C"/>
    <w:rsid w:val="00A82656"/>
    <w:rsid w:val="00A94C5E"/>
    <w:rsid w:val="00AD306F"/>
    <w:rsid w:val="00B2129D"/>
    <w:rsid w:val="00B33ADE"/>
    <w:rsid w:val="00B46221"/>
    <w:rsid w:val="00B75C33"/>
    <w:rsid w:val="00B82EFB"/>
    <w:rsid w:val="00BA2A7F"/>
    <w:rsid w:val="00BA6862"/>
    <w:rsid w:val="00BC31D5"/>
    <w:rsid w:val="00BC4461"/>
    <w:rsid w:val="00BC6E4A"/>
    <w:rsid w:val="00BD3803"/>
    <w:rsid w:val="00BE0F90"/>
    <w:rsid w:val="00BE32E6"/>
    <w:rsid w:val="00BE3CB9"/>
    <w:rsid w:val="00C10917"/>
    <w:rsid w:val="00C33E8A"/>
    <w:rsid w:val="00C715AA"/>
    <w:rsid w:val="00C74790"/>
    <w:rsid w:val="00C80173"/>
    <w:rsid w:val="00C81A81"/>
    <w:rsid w:val="00C86C97"/>
    <w:rsid w:val="00CA6052"/>
    <w:rsid w:val="00CA7070"/>
    <w:rsid w:val="00CB72B6"/>
    <w:rsid w:val="00D21EDC"/>
    <w:rsid w:val="00D503FB"/>
    <w:rsid w:val="00D66BB5"/>
    <w:rsid w:val="00D74081"/>
    <w:rsid w:val="00D83AEA"/>
    <w:rsid w:val="00DC25AC"/>
    <w:rsid w:val="00DF5064"/>
    <w:rsid w:val="00DF6278"/>
    <w:rsid w:val="00E10793"/>
    <w:rsid w:val="00E343B3"/>
    <w:rsid w:val="00E70993"/>
    <w:rsid w:val="00E769E2"/>
    <w:rsid w:val="00EA1B45"/>
    <w:rsid w:val="00EA71C1"/>
    <w:rsid w:val="00EB3504"/>
    <w:rsid w:val="00EE622E"/>
    <w:rsid w:val="00F14FA8"/>
    <w:rsid w:val="00F24424"/>
    <w:rsid w:val="00F25D3E"/>
    <w:rsid w:val="00F306B7"/>
    <w:rsid w:val="00F50DB5"/>
    <w:rsid w:val="00F54D5E"/>
    <w:rsid w:val="00F623EE"/>
    <w:rsid w:val="00F6381E"/>
    <w:rsid w:val="00F65A87"/>
    <w:rsid w:val="00F94D3A"/>
    <w:rsid w:val="00FD11F7"/>
    <w:rsid w:val="00FF0D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101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0135"/>
    <w:rPr>
      <w:rFonts w:cs="Times New Roman"/>
      <w:sz w:val="18"/>
      <w:szCs w:val="18"/>
    </w:rPr>
  </w:style>
  <w:style w:type="paragraph" w:styleId="Footer">
    <w:name w:val="footer"/>
    <w:basedOn w:val="Normal"/>
    <w:link w:val="FooterChar"/>
    <w:uiPriority w:val="99"/>
    <w:semiHidden/>
    <w:rsid w:val="006101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0135"/>
    <w:rPr>
      <w:rFonts w:cs="Times New Roman"/>
      <w:sz w:val="18"/>
      <w:szCs w:val="18"/>
    </w:rPr>
  </w:style>
  <w:style w:type="paragraph" w:styleId="ListParagraph">
    <w:name w:val="List Paragraph"/>
    <w:basedOn w:val="Normal"/>
    <w:uiPriority w:val="99"/>
    <w:qFormat/>
    <w:rsid w:val="00610135"/>
    <w:pPr>
      <w:ind w:firstLineChars="200" w:firstLine="420"/>
    </w:pPr>
  </w:style>
  <w:style w:type="character" w:styleId="PageNumber">
    <w:name w:val="page number"/>
    <w:basedOn w:val="DefaultParagraphFont"/>
    <w:uiPriority w:val="99"/>
    <w:rsid w:val="00610135"/>
    <w:rPr>
      <w:rFonts w:cs="Times New Roman"/>
    </w:rPr>
  </w:style>
  <w:style w:type="paragraph" w:styleId="BalloonText">
    <w:name w:val="Balloon Text"/>
    <w:basedOn w:val="Normal"/>
    <w:link w:val="BalloonTextChar"/>
    <w:uiPriority w:val="99"/>
    <w:semiHidden/>
    <w:rsid w:val="00610135"/>
    <w:rPr>
      <w:sz w:val="18"/>
      <w:szCs w:val="18"/>
    </w:rPr>
  </w:style>
  <w:style w:type="character" w:customStyle="1" w:styleId="BalloonTextChar">
    <w:name w:val="Balloon Text Char"/>
    <w:basedOn w:val="DefaultParagraphFont"/>
    <w:link w:val="BalloonText"/>
    <w:uiPriority w:val="99"/>
    <w:semiHidden/>
    <w:locked/>
    <w:rsid w:val="00610135"/>
    <w:rPr>
      <w:rFonts w:ascii="Calibri" w:eastAsia="宋体" w:hAnsi="Calibri" w:cs="Times New Roman"/>
      <w:sz w:val="18"/>
      <w:szCs w:val="18"/>
    </w:rPr>
  </w:style>
  <w:style w:type="paragraph" w:styleId="NormalWeb">
    <w:name w:val="Normal (Web)"/>
    <w:basedOn w:val="Normal"/>
    <w:uiPriority w:val="99"/>
    <w:semiHidden/>
    <w:rsid w:val="00A464E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8085722">
      <w:marLeft w:val="0"/>
      <w:marRight w:val="0"/>
      <w:marTop w:val="0"/>
      <w:marBottom w:val="0"/>
      <w:divBdr>
        <w:top w:val="none" w:sz="0" w:space="0" w:color="auto"/>
        <w:left w:val="none" w:sz="0" w:space="0" w:color="auto"/>
        <w:bottom w:val="none" w:sz="0" w:space="0" w:color="auto"/>
        <w:right w:val="none" w:sz="0" w:space="0" w:color="auto"/>
      </w:divBdr>
    </w:div>
    <w:div w:id="768085723">
      <w:marLeft w:val="0"/>
      <w:marRight w:val="0"/>
      <w:marTop w:val="0"/>
      <w:marBottom w:val="0"/>
      <w:divBdr>
        <w:top w:val="none" w:sz="0" w:space="0" w:color="auto"/>
        <w:left w:val="none" w:sz="0" w:space="0" w:color="auto"/>
        <w:bottom w:val="none" w:sz="0" w:space="0" w:color="auto"/>
        <w:right w:val="none" w:sz="0" w:space="0" w:color="auto"/>
      </w:divBdr>
    </w:div>
    <w:div w:id="768085724">
      <w:marLeft w:val="0"/>
      <w:marRight w:val="0"/>
      <w:marTop w:val="0"/>
      <w:marBottom w:val="0"/>
      <w:divBdr>
        <w:top w:val="none" w:sz="0" w:space="0" w:color="auto"/>
        <w:left w:val="none" w:sz="0" w:space="0" w:color="auto"/>
        <w:bottom w:val="none" w:sz="0" w:space="0" w:color="auto"/>
        <w:right w:val="none" w:sz="0" w:space="0" w:color="auto"/>
      </w:divBdr>
    </w:div>
    <w:div w:id="768085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13</Pages>
  <Words>845</Words>
  <Characters>4822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32</cp:revision>
  <dcterms:created xsi:type="dcterms:W3CDTF">2013-10-25T09:42:00Z</dcterms:created>
  <dcterms:modified xsi:type="dcterms:W3CDTF">2013-10-31T08:18:00Z</dcterms:modified>
</cp:coreProperties>
</file>