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5"/>
          <w:rFonts w:ascii="黑体" w:hAnsi="黑体" w:eastAsia="黑体"/>
          <w:sz w:val="30"/>
          <w:szCs w:val="30"/>
        </w:rPr>
      </w:pPr>
      <w:r>
        <w:rPr>
          <w:rStyle w:val="5"/>
          <w:rFonts w:ascii="黑体" w:hAnsi="黑体" w:eastAsia="黑体"/>
          <w:sz w:val="30"/>
          <w:szCs w:val="30"/>
        </w:rPr>
        <w:t>附件2：</w:t>
      </w:r>
    </w:p>
    <w:p>
      <w:pPr>
        <w:spacing w:line="360" w:lineRule="auto"/>
        <w:rPr>
          <w:rStyle w:val="5"/>
          <w:rFonts w:ascii="黑体" w:hAnsi="黑体" w:eastAsia="黑体"/>
          <w:sz w:val="30"/>
          <w:szCs w:val="30"/>
        </w:rPr>
      </w:pPr>
    </w:p>
    <w:p>
      <w:pPr>
        <w:jc w:val="center"/>
        <w:rPr>
          <w:rStyle w:val="5"/>
          <w:rFonts w:ascii="Times New Roman" w:hAnsi="Times New Roman" w:eastAsia="方正小标宋_GBK"/>
          <w:color w:val="auto"/>
          <w:sz w:val="42"/>
          <w:szCs w:val="42"/>
        </w:rPr>
      </w:pPr>
      <w:r>
        <w:rPr>
          <w:rStyle w:val="5"/>
          <w:rFonts w:ascii="Times New Roman" w:hAnsi="Times New Roman" w:eastAsia="方正小标宋_GBK"/>
          <w:color w:val="auto"/>
          <w:sz w:val="42"/>
          <w:szCs w:val="42"/>
        </w:rPr>
        <w:t>20</w:t>
      </w:r>
      <w:r>
        <w:rPr>
          <w:rStyle w:val="5"/>
          <w:rFonts w:hint="eastAsia" w:ascii="Times New Roman" w:hAnsi="Times New Roman" w:eastAsia="方正小标宋_GBK"/>
          <w:color w:val="auto"/>
          <w:sz w:val="42"/>
          <w:szCs w:val="42"/>
        </w:rPr>
        <w:t>20</w:t>
      </w:r>
      <w:r>
        <w:rPr>
          <w:rStyle w:val="5"/>
          <w:rFonts w:ascii="Times New Roman" w:hAnsi="Times New Roman" w:eastAsia="方正小标宋_GBK"/>
          <w:color w:val="auto"/>
          <w:sz w:val="42"/>
          <w:szCs w:val="42"/>
        </w:rPr>
        <w:t>年度全国文物艺术品拍卖专项统计</w:t>
      </w:r>
    </w:p>
    <w:p>
      <w:pPr>
        <w:spacing w:beforeLines="50"/>
        <w:jc w:val="center"/>
        <w:rPr>
          <w:rStyle w:val="5"/>
          <w:rFonts w:ascii="Times New Roman" w:hAnsi="Times New Roman" w:eastAsia="楷体_GB2312"/>
          <w:b/>
          <w:color w:val="auto"/>
          <w:sz w:val="40"/>
          <w:szCs w:val="40"/>
        </w:rPr>
      </w:pPr>
      <w:r>
        <w:rPr>
          <w:rStyle w:val="5"/>
          <w:rFonts w:ascii="Times New Roman" w:hAnsi="Times New Roman" w:eastAsia="楷体_GB2312"/>
          <w:b/>
          <w:color w:val="auto"/>
          <w:sz w:val="30"/>
          <w:szCs w:val="30"/>
        </w:rPr>
        <w:t>（网络填报模板）</w:t>
      </w:r>
    </w:p>
    <w:p>
      <w:pPr>
        <w:snapToGrid w:val="0"/>
        <w:spacing w:line="360" w:lineRule="auto"/>
        <w:ind w:firstLine="600" w:firstLineChars="200"/>
        <w:rPr>
          <w:rStyle w:val="5"/>
          <w:rFonts w:ascii="Times New Roman" w:hAnsi="Times New Roman"/>
          <w:color w:val="auto"/>
          <w:sz w:val="30"/>
          <w:szCs w:val="30"/>
        </w:rPr>
      </w:pP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Style w:val="5"/>
          <w:rFonts w:ascii="Times New Roman" w:hAnsi="黑体" w:eastAsia="黑体" w:cs="Times New Roman"/>
          <w:color w:val="auto"/>
          <w:sz w:val="30"/>
          <w:szCs w:val="30"/>
        </w:rPr>
        <w:t>【特别提示】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hAnsi="Times New Roman" w:cs="Times New Roman"/>
          <w:color w:val="auto"/>
          <w:sz w:val="30"/>
          <w:szCs w:val="30"/>
        </w:rPr>
      </w:pPr>
      <w:r>
        <w:rPr>
          <w:rStyle w:val="5"/>
          <w:rFonts w:ascii="Times New Roman" w:hAnsi="Times New Roman" w:cs="Times New Roman"/>
          <w:color w:val="auto"/>
          <w:sz w:val="30"/>
          <w:szCs w:val="30"/>
        </w:rPr>
        <w:t>统计工作为相关政府部门委托，统计信息主要用于拍卖行业管理决策、《中国文物艺术品拍卖市场统计年报》编制、中国文物艺术品拍卖排行榜（青花奖）评选及其他有关行业事项。企业如对相关统计项目的使用或发布持有意见，请在相应项目</w:t>
      </w:r>
      <w:r>
        <w:rPr>
          <w:rStyle w:val="5"/>
          <w:rFonts w:hint="eastAsia" w:hAnsi="Times New Roman" w:cs="Times New Roman"/>
          <w:color w:val="auto"/>
          <w:sz w:val="30"/>
          <w:szCs w:val="30"/>
        </w:rPr>
        <w:t>后的“备注栏”注明。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Style w:val="5"/>
          <w:rFonts w:ascii="Times New Roman" w:hAnsi="黑体" w:eastAsia="黑体" w:cs="Times New Roman"/>
          <w:color w:val="auto"/>
          <w:sz w:val="30"/>
          <w:szCs w:val="30"/>
        </w:rPr>
        <w:t>【填表说明】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color w:val="auto"/>
          <w:sz w:val="30"/>
          <w:szCs w:val="30"/>
        </w:rPr>
      </w:pPr>
      <w:r>
        <w:rPr>
          <w:rStyle w:val="5"/>
          <w:rFonts w:ascii="Times New Roman" w:hAnsi="Times New Roman" w:cs="Times New Roman"/>
          <w:color w:val="auto"/>
          <w:sz w:val="30"/>
          <w:szCs w:val="30"/>
        </w:rPr>
        <w:t>1. 本统计以具备独立法人资格的拍卖企业为单位，子公司及关联公司均应分别填报；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color w:val="auto"/>
          <w:sz w:val="30"/>
          <w:szCs w:val="30"/>
        </w:rPr>
      </w:pPr>
      <w:r>
        <w:rPr>
          <w:rStyle w:val="5"/>
          <w:rFonts w:ascii="Times New Roman" w:hAnsi="Times New Roman" w:cs="Times New Roman"/>
          <w:color w:val="auto"/>
          <w:sz w:val="30"/>
          <w:szCs w:val="30"/>
        </w:rPr>
        <w:t>2.网络拍卖平台的，仅需填报自营部分（即以自己名义举办的拍卖活动），平台上其他拍卖主体组织的拍卖活动数据由各自独立填报。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color w:val="auto"/>
          <w:sz w:val="30"/>
          <w:szCs w:val="30"/>
        </w:rPr>
        <w:t xml:space="preserve">3. </w:t>
      </w:r>
      <w:r>
        <w:rPr>
          <w:rStyle w:val="5"/>
          <w:rFonts w:ascii="Times New Roman" w:hAnsi="Times New Roman" w:cs="Times New Roman"/>
          <w:sz w:val="30"/>
          <w:szCs w:val="30"/>
        </w:rPr>
        <w:t>企业“注册资本”为年度</w:t>
      </w:r>
      <w:r>
        <w:rPr>
          <w:rStyle w:val="5"/>
          <w:rFonts w:ascii="Times New Roman" w:hAnsi="Times New Roman" w:cs="Times New Roman"/>
          <w:b/>
          <w:sz w:val="30"/>
          <w:szCs w:val="30"/>
        </w:rPr>
        <w:t>期末数</w:t>
      </w:r>
      <w:r>
        <w:rPr>
          <w:rStyle w:val="5"/>
          <w:rFonts w:ascii="Times New Roman" w:hAnsi="Times New Roman" w:cs="Times New Roman"/>
          <w:sz w:val="30"/>
          <w:szCs w:val="30"/>
        </w:rPr>
        <w:t>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4. “员工人数”为年度</w:t>
      </w:r>
      <w:r>
        <w:rPr>
          <w:rStyle w:val="5"/>
          <w:rFonts w:ascii="Times New Roman" w:hAnsi="Times New Roman" w:cs="Times New Roman"/>
          <w:b/>
          <w:sz w:val="30"/>
          <w:szCs w:val="30"/>
        </w:rPr>
        <w:t>期末数</w:t>
      </w:r>
      <w:r>
        <w:rPr>
          <w:rStyle w:val="5"/>
          <w:rFonts w:ascii="Times New Roman" w:hAnsi="Times New Roman" w:cs="Times New Roman"/>
          <w:sz w:val="30"/>
          <w:szCs w:val="30"/>
        </w:rPr>
        <w:t>，以签订劳动合同为准（不含挂职的专家、顾问）；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5．</w:t>
      </w:r>
      <w:r>
        <w:rPr>
          <w:rStyle w:val="5"/>
          <w:rFonts w:hint="eastAsia" w:hAnsi="Times New Roman" w:cs="Times New Roman"/>
          <w:sz w:val="30"/>
          <w:szCs w:val="30"/>
        </w:rPr>
        <w:t>“拍卖会次数”以发布的拍卖公告数量为准；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6．当一个专场包含两个或以上类别时，如其中某一门类成交额占70%（含）以上，可全部归入此门类中（专场成交在1亿以上的除外），否则区分填报；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7．“成交价”是指拍卖师以落槌等方式确认的竞买人的最高应价（即落槌价）；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 xml:space="preserve">8．“应收佣金（买方）”是指按竞买规则应当收取的买方佣金总额; 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9．</w:t>
      </w:r>
      <w:r>
        <w:rPr>
          <w:rStyle w:val="5"/>
          <w:rFonts w:hint="eastAsia" w:hAnsi="Times New Roman" w:cs="Times New Roman"/>
          <w:sz w:val="30"/>
          <w:szCs w:val="30"/>
        </w:rPr>
        <w:t>“实收拍品款”和“实收佣金”是指截至填报日前，拍卖企业实际收到</w:t>
      </w:r>
      <w:r>
        <w:rPr>
          <w:rStyle w:val="5"/>
          <w:rFonts w:hint="eastAsia" w:hAnsi="Times New Roman" w:cs="Times New Roman"/>
          <w:color w:val="auto"/>
          <w:sz w:val="30"/>
          <w:szCs w:val="30"/>
        </w:rPr>
        <w:t>的“</w:t>
      </w:r>
      <w:r>
        <w:rPr>
          <w:rStyle w:val="5"/>
          <w:rFonts w:ascii="Times New Roman" w:hAnsi="Times New Roman" w:cs="Times New Roman"/>
          <w:color w:val="auto"/>
          <w:sz w:val="30"/>
          <w:szCs w:val="30"/>
        </w:rPr>
        <w:t>2020</w:t>
      </w:r>
      <w:r>
        <w:rPr>
          <w:rStyle w:val="5"/>
          <w:rFonts w:hint="eastAsia" w:hAnsi="Times New Roman" w:cs="Times New Roman"/>
          <w:sz w:val="30"/>
          <w:szCs w:val="30"/>
        </w:rPr>
        <w:t>年度成交拍品”的货款和佣金；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10．</w:t>
      </w:r>
      <w:r>
        <w:rPr>
          <w:rStyle w:val="5"/>
          <w:rFonts w:hint="eastAsia" w:hAnsi="Times New Roman" w:cs="Times New Roman"/>
          <w:sz w:val="30"/>
          <w:szCs w:val="30"/>
        </w:rPr>
        <w:t>“企业年度效益”一</w:t>
      </w:r>
      <w:r>
        <w:rPr>
          <w:rStyle w:val="5"/>
          <w:rFonts w:ascii="Times New Roman" w:hAnsi="Times New Roman" w:cs="Times New Roman"/>
          <w:sz w:val="30"/>
          <w:szCs w:val="30"/>
        </w:rPr>
        <w:t>栏按自然年度计算，并仅限于文物艺术品拍卖业务，综合性拍卖企业须剔除其他拍卖业务；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11．企业有关纳税数据，均按所属期实缴数填写，上传缴税凭证须体现缴税单位、税种、所属期及金额等；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12．综合性拍卖企业在填写增值税后，须计算出其在文物艺术品拍卖业务方面的创税额；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13．</w:t>
      </w:r>
      <w:r>
        <w:rPr>
          <w:rStyle w:val="5"/>
          <w:rFonts w:hint="eastAsia" w:hAnsi="Times New Roman" w:cs="Times New Roman"/>
          <w:sz w:val="30"/>
          <w:szCs w:val="30"/>
        </w:rPr>
        <w:t>“海外回流文物”以具有相</w:t>
      </w:r>
      <w:r>
        <w:rPr>
          <w:rStyle w:val="5"/>
          <w:rFonts w:ascii="Times New Roman" w:hAnsi="Times New Roman" w:cs="Times New Roman"/>
          <w:sz w:val="30"/>
          <w:szCs w:val="30"/>
        </w:rPr>
        <w:t>关入境手续为准；</w:t>
      </w:r>
    </w:p>
    <w:p>
      <w:pPr>
        <w:widowControl w:val="0"/>
        <w:snapToGrid w:val="0"/>
        <w:spacing w:line="660" w:lineRule="exact"/>
        <w:ind w:firstLine="600" w:firstLineChars="200"/>
        <w:rPr>
          <w:rStyle w:val="5"/>
          <w:rFonts w:ascii="Times New Roman" w:hAnsi="Times New Roman" w:cs="Times New Roman"/>
          <w:sz w:val="30"/>
          <w:szCs w:val="30"/>
        </w:rPr>
      </w:pPr>
      <w:r>
        <w:rPr>
          <w:rStyle w:val="5"/>
          <w:rFonts w:ascii="Times New Roman" w:hAnsi="Times New Roman" w:cs="Times New Roman"/>
          <w:sz w:val="30"/>
          <w:szCs w:val="30"/>
        </w:rPr>
        <w:t>14．填报人在填报时，如有其他特殊情况，请在相应项目</w:t>
      </w:r>
      <w:r>
        <w:rPr>
          <w:rStyle w:val="5"/>
          <w:rFonts w:hint="eastAsia" w:hAnsi="Times New Roman" w:cs="Times New Roman"/>
          <w:sz w:val="30"/>
          <w:szCs w:val="30"/>
        </w:rPr>
        <w:t>后的“备注栏”中予</w:t>
      </w:r>
      <w:r>
        <w:rPr>
          <w:rStyle w:val="5"/>
          <w:rFonts w:ascii="Times New Roman" w:hAnsi="Times New Roman" w:cs="Times New Roman"/>
          <w:sz w:val="30"/>
          <w:szCs w:val="30"/>
        </w:rPr>
        <w:t>以说明。</w:t>
      </w:r>
    </w:p>
    <w:p>
      <w:pPr>
        <w:rPr>
          <w:rStyle w:val="5"/>
          <w:rFonts w:ascii="Times New Roman" w:hAnsi="Times New Roman"/>
          <w:kern w:val="0"/>
          <w:sz w:val="30"/>
          <w:szCs w:val="30"/>
        </w:rPr>
      </w:pPr>
    </w:p>
    <w:p>
      <w:pPr>
        <w:rPr>
          <w:rStyle w:val="5"/>
          <w:rFonts w:ascii="Times New Roman" w:hAnsi="Times New Roman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1247" w:gutter="0"/>
          <w:pgNumType w:chapStyle="1"/>
          <w:cols w:space="425" w:num="1"/>
          <w:docGrid w:type="lines" w:linePitch="326" w:charSpace="0"/>
        </w:sectPr>
      </w:pPr>
    </w:p>
    <w:tbl>
      <w:tblPr>
        <w:tblStyle w:val="3"/>
        <w:tblW w:w="155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219"/>
        <w:gridCol w:w="602"/>
        <w:gridCol w:w="581"/>
        <w:gridCol w:w="567"/>
        <w:gridCol w:w="851"/>
        <w:gridCol w:w="1134"/>
        <w:gridCol w:w="2551"/>
        <w:gridCol w:w="1317"/>
        <w:gridCol w:w="1235"/>
        <w:gridCol w:w="1417"/>
        <w:gridCol w:w="854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1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企业名称：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                ]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1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cs="Times New Roman"/>
                <w:kern w:val="0"/>
                <w:sz w:val="21"/>
                <w:szCs w:val="21"/>
              </w:rPr>
              <w:t>是否具备文物拍卖经营许可：</w:t>
            </w:r>
            <w:r>
              <w:rPr>
                <w:rStyle w:val="5"/>
                <w:rFonts w:hint="eastAsia" w:hAnsi="Times New Roman" w:cs="Times New Roman"/>
                <w:kern w:val="0"/>
                <w:sz w:val="21"/>
                <w:szCs w:val="21"/>
              </w:rPr>
              <w:t xml:space="preserve"> ○ </w:t>
            </w:r>
            <w:r>
              <w:rPr>
                <w:rStyle w:val="5"/>
                <w:rFonts w:hint="eastAsia" w:cs="Times New Roman"/>
                <w:kern w:val="0"/>
                <w:sz w:val="21"/>
                <w:szCs w:val="21"/>
              </w:rPr>
              <w:t>是</w:t>
            </w:r>
            <w:r>
              <w:rPr>
                <w:rStyle w:val="5"/>
                <w:rFonts w:hint="eastAsia" w:hAnsi="Times New Roman" w:cs="Times New Roman"/>
                <w:kern w:val="0"/>
                <w:sz w:val="21"/>
                <w:szCs w:val="21"/>
              </w:rPr>
              <w:t xml:space="preserve"> [</w:t>
            </w:r>
            <w:r>
              <w:rPr>
                <w:rStyle w:val="5"/>
                <w:rFonts w:hint="eastAsia" w:cs="Times New Roman"/>
                <w:kern w:val="0"/>
                <w:sz w:val="21"/>
                <w:szCs w:val="21"/>
              </w:rPr>
              <w:t>许可证号（</w:t>
            </w:r>
            <w:r>
              <w:rPr>
                <w:rStyle w:val="5"/>
                <w:rFonts w:hint="eastAsia" w:hAnsi="Times New Roman" w:cs="Times New Roman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Style w:val="5"/>
                <w:rFonts w:hint="eastAsia" w:cs="Times New Roman"/>
                <w:kern w:val="0"/>
                <w:sz w:val="21"/>
                <w:szCs w:val="21"/>
              </w:rPr>
              <w:t>）</w:t>
            </w:r>
            <w:r>
              <w:rPr>
                <w:rStyle w:val="5"/>
                <w:rFonts w:hint="eastAsia" w:hAnsi="Times New Roman" w:cs="Times New Roman"/>
                <w:kern w:val="0"/>
                <w:sz w:val="21"/>
                <w:szCs w:val="21"/>
              </w:rPr>
              <w:t xml:space="preserve">]      ○ </w:t>
            </w:r>
            <w:r>
              <w:rPr>
                <w:rStyle w:val="5"/>
                <w:rFonts w:hint="eastAsia" w:cs="Times New Roman"/>
                <w:kern w:val="0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1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法人代表：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 ]      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注册资本：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]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万元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1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员工总人数：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]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人</w:t>
            </w:r>
          </w:p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其中从事文物艺术品拍卖业务相关员工人数：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]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人</w:t>
            </w:r>
            <w:r>
              <w:rPr>
                <w:rStyle w:val="5"/>
                <w:rFonts w:ascii="Times New Roman" w:cs="Times New Roman"/>
                <w:spacing w:val="-6"/>
                <w:kern w:val="0"/>
                <w:sz w:val="21"/>
                <w:szCs w:val="21"/>
              </w:rPr>
              <w:t>（专一从事文物艺术品拍卖的企业前述员工人数应一致</w:t>
            </w:r>
            <w:r>
              <w:rPr>
                <w:rStyle w:val="5"/>
                <w:rFonts w:ascii="Times New Roman" w:hAnsi="Times New Roman" w:cs="Times New Roman"/>
                <w:spacing w:val="-6"/>
                <w:kern w:val="0"/>
                <w:sz w:val="21"/>
                <w:szCs w:val="21"/>
              </w:rPr>
              <w:t>,</w:t>
            </w:r>
            <w:r>
              <w:rPr>
                <w:rStyle w:val="5"/>
                <w:rFonts w:ascii="Times New Roman" w:cs="Times New Roman"/>
                <w:spacing w:val="-6"/>
                <w:kern w:val="0"/>
                <w:sz w:val="21"/>
                <w:szCs w:val="21"/>
              </w:rPr>
              <w:t>综合性企业只需将从事资产类拍卖业务的人员减去即可）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56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分类</w:t>
            </w:r>
          </w:p>
          <w:p>
            <w:pPr>
              <w:jc w:val="left"/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中国书画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油画及当代艺术</w:t>
            </w: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              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（油画、雕塑、装置、影像</w:t>
            </w:r>
            <w:r>
              <w:rPr>
                <w:rStyle w:val="5"/>
                <w:rFonts w:ascii="Times New Roman" w:cs="Times New Roman"/>
                <w:color w:val="auto"/>
                <w:kern w:val="0"/>
                <w:sz w:val="21"/>
                <w:szCs w:val="21"/>
              </w:rPr>
              <w:t>、水彩、素描、速写、版画、漫画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等）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瓷玉杂项</w:t>
            </w: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                 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（</w:t>
            </w:r>
            <w:r>
              <w:rPr>
                <w:rStyle w:val="5"/>
                <w:rFonts w:ascii="Times New Roman" w:cs="Times New Roman"/>
                <w:color w:val="auto"/>
                <w:kern w:val="0"/>
                <w:sz w:val="21"/>
                <w:szCs w:val="21"/>
              </w:rPr>
              <w:t>文物类的陶瓷器、玉石器、金属器、漆器、竹木牙角、佛教用具、纺织服饰、家具陈设、紫砂茗具、文房清供等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古籍碑帖</w:t>
            </w:r>
            <w:r>
              <w:rPr>
                <w:rStyle w:val="5"/>
                <w:rFonts w:ascii="Times New Roman" w:cs="Times New Roman"/>
                <w:bCs/>
                <w:color w:val="auto"/>
                <w:kern w:val="0"/>
                <w:sz w:val="21"/>
                <w:szCs w:val="21"/>
              </w:rPr>
              <w:t>（古旧书籍、碑帖、文献、手稿、印谱、砚谱等）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邮品钱币</w:t>
            </w:r>
            <w:r>
              <w:rPr>
                <w:rStyle w:val="5"/>
                <w:rFonts w:ascii="Times New Roman" w:cs="Times New Roman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="Times New Roman" w:cs="Times New Roman" w:hAnsiTheme="minorEastAsia"/>
                <w:color w:val="auto"/>
                <w:sz w:val="21"/>
                <w:szCs w:val="21"/>
              </w:rPr>
              <w:t>邮票、粮票、钱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Times New Roman" w:cs="Times New Roman" w:hAnsiTheme="minorEastAsia"/>
                <w:color w:val="auto"/>
                <w:sz w:val="21"/>
                <w:szCs w:val="21"/>
              </w:rPr>
              <w:t>纸币、纪念章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Times New Roman" w:cs="Times New Roman" w:hAnsiTheme="minorEastAsia"/>
                <w:color w:val="auto"/>
                <w:sz w:val="21"/>
                <w:szCs w:val="21"/>
              </w:rPr>
              <w:t>币</w:t>
            </w:r>
            <w:r>
              <w:rPr>
                <w:rStyle w:val="5"/>
                <w:rFonts w:ascii="Times New Roman" w:cs="Times New Roman"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left="-120" w:leftChars="-50" w:right="-120" w:rightChars="-50"/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其他</w:t>
            </w: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       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Style w:val="5"/>
                <w:rFonts w:ascii="Times New Roman" w:cs="Times New Roman"/>
                <w:color w:val="auto"/>
                <w:kern w:val="0"/>
                <w:sz w:val="21"/>
                <w:szCs w:val="21"/>
              </w:rPr>
              <w:t>当代类的珠宝、翡翠、玉石、工艺品、茶酒及饰品等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356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古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代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近</w:t>
            </w:r>
          </w:p>
          <w:p>
            <w:pPr>
              <w:jc w:val="center"/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现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代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当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代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6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拍卖会次数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color w:val="auto"/>
                <w:kern w:val="0"/>
                <w:sz w:val="21"/>
                <w:szCs w:val="21"/>
              </w:rPr>
              <w:t>纯现场拍卖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[        ]</w:t>
            </w:r>
            <w:r>
              <w:rPr>
                <w:rStyle w:val="5"/>
                <w:rFonts w:ascii="Times New Roman" w:cs="Times New Roman"/>
                <w:color w:val="auto"/>
                <w:kern w:val="0"/>
                <w:sz w:val="21"/>
                <w:szCs w:val="21"/>
              </w:rPr>
              <w:t>场，纯网络拍卖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 xml:space="preserve">[   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 ]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场，同步拍卖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]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场，共计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]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场。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6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上拍件数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（件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/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套）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6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成交件数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（件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/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套）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6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成交率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（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%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成交拍品</w:t>
            </w: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价格分布</w:t>
            </w: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  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（件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/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套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,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不含佣金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10万以下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10"/>
                <w:kern w:val="0"/>
                <w:sz w:val="21"/>
                <w:szCs w:val="21"/>
              </w:rPr>
              <w:t>10万（含）-20万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10"/>
                <w:kern w:val="0"/>
                <w:sz w:val="21"/>
                <w:szCs w:val="21"/>
              </w:rPr>
              <w:t>20万（含）-50万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-20" w:leftChars="-31" w:right="-170" w:rightChars="-71" w:hanging="54"/>
              <w:jc w:val="left"/>
              <w:rPr>
                <w:rStyle w:val="5"/>
                <w:rFonts w:ascii="Times New Roman" w:hAnsi="Times New Roman" w:cs="Times New Roman"/>
                <w:spacing w:val="-12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12"/>
                <w:kern w:val="0"/>
                <w:sz w:val="21"/>
                <w:szCs w:val="21"/>
              </w:rPr>
              <w:t>50万（含）-100万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-25" w:leftChars="-31" w:right="-170" w:rightChars="-71" w:hanging="49"/>
              <w:jc w:val="left"/>
              <w:rPr>
                <w:rStyle w:val="5"/>
                <w:rFonts w:ascii="Times New Roman" w:hAnsi="Times New Roman" w:cs="Times New Roman"/>
                <w:spacing w:val="-20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20"/>
                <w:kern w:val="0"/>
                <w:sz w:val="21"/>
                <w:szCs w:val="21"/>
              </w:rPr>
              <w:t>100万（含）-500万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10"/>
                <w:kern w:val="0"/>
                <w:sz w:val="21"/>
                <w:szCs w:val="21"/>
              </w:rPr>
              <w:t>500万（含）-1000万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1000万（含）以上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bCs/>
                <w:kern w:val="0"/>
                <w:sz w:val="21"/>
                <w:szCs w:val="21"/>
              </w:rPr>
              <w:t>成交金额</w:t>
            </w: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1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成交额（不含佣金）</w:t>
            </w:r>
          </w:p>
        </w:tc>
        <w:tc>
          <w:tcPr>
            <w:tcW w:w="60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应收佣金（买方）</w:t>
            </w: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结算情况</w:t>
            </w:r>
          </w:p>
          <w:p>
            <w:pP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即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2020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年成交拍品到目前的结算情况</w:t>
            </w: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  <w:t>实收拍品款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  <w:t>（不含佣金）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]万元 （即截至填报日前,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“2020年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成交拍品”已完成结算的拍品款）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  <w:t>结算进度（率）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 % （ 即</w:t>
            </w:r>
            <w:r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  <w:t xml:space="preserve">实收拍品款（不含佣金） 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/ 成交额</w:t>
            </w:r>
            <w:r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  <w:t>（不含佣金）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</w:rPr>
              <w:t>×100%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实收佣金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（买卖双方）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]万元（即截至填报日前, “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2020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年已结算拍品”之实收佣金总额；不含图录、保险/保管等各类费用。）                                    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实收佣金比例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（买卖双方）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] % （ = 实收佣金 （买卖双方） / </w:t>
            </w:r>
            <w:r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  <w:t xml:space="preserve">实收拍品款（不含佣金） 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</w:rPr>
              <w:t>×100%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企业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年度效益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（按自然年内填报，综合性企业须将资产拍卖剔除）</w:t>
            </w: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主营业务收入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（佣金收入）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（即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2020.1.1-2020.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12.31期间的佣金收入，含以往成交拍品在本年度内入账的佣金）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企业运营费用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 = 销售费用 + 管理费用）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主营业务利润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]万元 （ = 主营业务收入 - 企业运营费用 – 税金及附加 ） 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主营业务利润率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]  %  （ = 主营业务利润 / 主营业务收入 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</w:rPr>
              <w:t>×100%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费用利润率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]  %  （ = 主营业务利润 / 企业运营费用 </w:t>
            </w:r>
            <w:r>
              <w:rPr>
                <w:rStyle w:val="5"/>
                <w:rFonts w:ascii="Times New Roman" w:hAnsi="Times New Roman" w:cs="Times New Roman"/>
                <w:sz w:val="21"/>
                <w:szCs w:val="21"/>
              </w:rPr>
              <w:t>×100%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人均创利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/人/年度（ = 主营业务收入 / 文物艺术品拍卖相关员工人数 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企业             增值税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税    金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]万元，其中文物艺术品拍卖业务创税额为[           ]万元。（专一从事文物艺术品拍卖的企业前述税金应一致）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税    票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【 * 点击上传以上增值税完税证明扫描件或照片】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企业             所得税                   </w:t>
            </w:r>
          </w:p>
        </w:tc>
        <w:tc>
          <w:tcPr>
            <w:tcW w:w="22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税    金</w:t>
            </w:r>
          </w:p>
        </w:tc>
        <w:tc>
          <w:tcPr>
            <w:tcW w:w="11109" w:type="dxa"/>
            <w:gridSpan w:val="10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税    票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【 * 点击上传以上所得税完税证明扫描件或照片】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代扣代缴所得税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（委托人）</w:t>
            </w: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税</w:t>
            </w:r>
            <w:r>
              <w:rPr>
                <w:rStyle w:val="5"/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金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其他税金</w:t>
            </w: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税    金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  [           ]万元（ = 进口关税 +  进口环节增值税 +其他税金 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  <w:t>企业总创税</w:t>
            </w: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创税合计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[           ]万元（ = 企业增值税 + 企业所得税 + 代扣代缴委托人所得税 + 其他税金）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纯网络拍卖的情况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（不含同步拍卖）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上拍件数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]件（套）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成交件数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]件（套）（实际成交件数）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成交率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 %  （ = 成交件数 / 上拍件数 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-60" w:leftChars="-25" w:right="-120" w:rightChars="-50"/>
              <w:jc w:val="center"/>
              <w:rPr>
                <w:rStyle w:val="5"/>
                <w:rFonts w:ascii="Times New Roman" w:hAnsi="Times New Roman" w:cs="Times New Roman"/>
                <w:spacing w:val="-8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8"/>
                <w:kern w:val="0"/>
                <w:sz w:val="21"/>
                <w:szCs w:val="21"/>
              </w:rPr>
              <w:t>实收拍品款（不含佣金）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]万元 （即截至填报日前,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“2020年成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交拍品”已完成结算的拍品款）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spacing w:val="-8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spacing w:val="-8"/>
                <w:kern w:val="0"/>
                <w:sz w:val="21"/>
                <w:szCs w:val="21"/>
              </w:rPr>
              <w:t>实收佣金（买卖双方）</w:t>
            </w:r>
          </w:p>
        </w:tc>
        <w:tc>
          <w:tcPr>
            <w:tcW w:w="111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[           ]万元（即截至填报日前,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“2020年已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结算拍品”之实收佣金总额；不含图录、保险/保管等各类费用。）     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企业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社会贡献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海外文物回流贡献（此项可不填写）</w:t>
            </w: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上拍件数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]件（套）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成交件数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]件（套）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成交率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 %  （ = 成交件数 / 上拍件数 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spacing w:val="-2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总成交价（不含佣金）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企业</w:t>
            </w:r>
          </w:p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社会贡献</w:t>
            </w:r>
          </w:p>
        </w:tc>
        <w:tc>
          <w:tcPr>
            <w:tcW w:w="2219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产业链贡献</w:t>
            </w:r>
          </w:p>
        </w:tc>
        <w:tc>
          <w:tcPr>
            <w:tcW w:w="2601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宣传广告支出</w:t>
            </w:r>
          </w:p>
        </w:tc>
        <w:tc>
          <w:tcPr>
            <w:tcW w:w="8508" w:type="dxa"/>
            <w:gridSpan w:val="6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印刷出版支出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（拍卖图录、刊物、书籍及有关资料的印刷和出版费用）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酒店会展支出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（拍卖场地、场地布置、酒店招待等）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运输邮递支出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（图录、拍品及相关资料的快递及运输）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保险支出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（向正规保险公司投付的保险费）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差旅支出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（日常交通、住宿、餐饮等）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公益性贡献</w:t>
            </w: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慈善捐赠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]万元 （即现金捐赠或其他捐赠折合金额，一般以捐赠发票或证书为准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，金额超过5万元的，请在备注栏中说明捐款对象及金额）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公益拍卖活动</w:t>
            </w:r>
          </w:p>
        </w:tc>
        <w:tc>
          <w:tcPr>
            <w:tcW w:w="85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[           ]场，属于各有关方捐献的成交额为 [           ]万元（不含佣金）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附表1</w:t>
            </w:r>
          </w:p>
        </w:tc>
        <w:tc>
          <w:tcPr>
            <w:tcW w:w="1332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2020年度1000万元以上成交拍品信息表（如有） 【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点击进入】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附表2</w:t>
            </w:r>
          </w:p>
        </w:tc>
        <w:tc>
          <w:tcPr>
            <w:tcW w:w="133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2020年度客户违约信息统计表（如有）</w:t>
            </w: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 【点击进入】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1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企业授权填报人：[            ]            填报人移动电话：[                         ]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1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kern w:val="0"/>
                <w:sz w:val="21"/>
                <w:szCs w:val="21"/>
              </w:rPr>
              <w:t xml:space="preserve">通讯邮编：[           ]    企业通讯电话：[                        ]   企业营业地址：[                                                        ]               </w:t>
            </w:r>
          </w:p>
        </w:tc>
      </w:tr>
    </w:tbl>
    <w:p>
      <w:pPr>
        <w:rPr>
          <w:rStyle w:val="5"/>
          <w:rFonts w:ascii="Times New Roman" w:hAnsi="Times New Roman"/>
          <w:kern w:val="0"/>
          <w:sz w:val="30"/>
          <w:szCs w:val="30"/>
        </w:rPr>
        <w:sectPr>
          <w:footerReference r:id="rId5" w:type="default"/>
          <w:footerReference r:id="rId6" w:type="even"/>
          <w:pgSz w:w="16838" w:h="11906" w:orient="landscape"/>
          <w:pgMar w:top="1474" w:right="1440" w:bottom="1474" w:left="1440" w:header="851" w:footer="1247" w:gutter="0"/>
          <w:pgNumType w:chapStyle="1"/>
          <w:cols w:space="425" w:num="1"/>
          <w:docGrid w:type="lines" w:linePitch="326" w:charSpace="0"/>
        </w:sectPr>
      </w:pPr>
    </w:p>
    <w:p>
      <w:pPr>
        <w:spacing w:before="65"/>
        <w:ind w:left="167" w:leftChars="-63" w:hanging="318"/>
        <w:rPr>
          <w:rStyle w:val="5"/>
          <w:rFonts w:ascii="Times New Roman" w:hAnsi="Times New Roman" w:eastAsia="黑体"/>
          <w:sz w:val="30"/>
          <w:szCs w:val="30"/>
        </w:rPr>
      </w:pPr>
      <w:r>
        <w:rPr>
          <w:rStyle w:val="5"/>
          <w:rFonts w:ascii="Times New Roman" w:hAnsi="黑体" w:eastAsia="黑体"/>
          <w:sz w:val="30"/>
          <w:szCs w:val="30"/>
        </w:rPr>
        <w:t>附表</w:t>
      </w:r>
      <w:r>
        <w:rPr>
          <w:rStyle w:val="5"/>
          <w:rFonts w:ascii="Times New Roman" w:hAnsi="Times New Roman" w:eastAsia="黑体"/>
          <w:sz w:val="30"/>
          <w:szCs w:val="30"/>
        </w:rPr>
        <w:t>1</w:t>
      </w:r>
      <w:r>
        <w:rPr>
          <w:rStyle w:val="5"/>
          <w:rFonts w:ascii="Times New Roman" w:hAnsi="黑体" w:eastAsia="黑体"/>
          <w:sz w:val="30"/>
          <w:szCs w:val="30"/>
        </w:rPr>
        <w:t>：</w:t>
      </w:r>
    </w:p>
    <w:p>
      <w:pPr>
        <w:snapToGrid w:val="0"/>
        <w:spacing w:after="163"/>
        <w:jc w:val="center"/>
        <w:rPr>
          <w:rStyle w:val="5"/>
          <w:rFonts w:ascii="方正小标宋_GBK" w:eastAsia="方正小标宋_GBK"/>
          <w:sz w:val="42"/>
          <w:szCs w:val="42"/>
        </w:rPr>
      </w:pPr>
      <w:r>
        <w:rPr>
          <w:rStyle w:val="5"/>
          <w:rFonts w:ascii="方正小标宋_GBK" w:eastAsia="方正小标宋_GBK"/>
          <w:color w:val="auto"/>
          <w:sz w:val="42"/>
          <w:szCs w:val="42"/>
        </w:rPr>
        <w:t>20</w:t>
      </w:r>
      <w:r>
        <w:rPr>
          <w:rStyle w:val="5"/>
          <w:rFonts w:hint="eastAsia" w:ascii="方正小标宋_GBK" w:eastAsia="方正小标宋_GBK"/>
          <w:color w:val="auto"/>
          <w:sz w:val="42"/>
          <w:szCs w:val="42"/>
        </w:rPr>
        <w:t>20</w:t>
      </w:r>
      <w:r>
        <w:rPr>
          <w:rStyle w:val="5"/>
          <w:rFonts w:ascii="方正小标宋_GBK" w:eastAsia="方正小标宋_GBK"/>
          <w:sz w:val="42"/>
          <w:szCs w:val="42"/>
        </w:rPr>
        <w:t>年度1000万元以上成交拍品信息表</w:t>
      </w:r>
    </w:p>
    <w:tbl>
      <w:tblPr>
        <w:tblStyle w:val="3"/>
        <w:tblW w:w="143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46"/>
        <w:gridCol w:w="1353"/>
        <w:gridCol w:w="1188"/>
        <w:gridCol w:w="1294"/>
        <w:gridCol w:w="1853"/>
        <w:gridCol w:w="1555"/>
        <w:gridCol w:w="1813"/>
        <w:gridCol w:w="1737"/>
        <w:gridCol w:w="11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 xml:space="preserve">拍品名称              </w:t>
            </w:r>
            <w:r>
              <w:rPr>
                <w:rStyle w:val="5"/>
                <w:rFonts w:ascii="黑体" w:hAnsi="黑体" w:eastAsia="黑体"/>
                <w:kern w:val="0"/>
                <w:sz w:val="21"/>
                <w:szCs w:val="21"/>
              </w:rPr>
              <w:t>（含作者、年代/创作时间）</w:t>
            </w:r>
          </w:p>
        </w:tc>
        <w:tc>
          <w:tcPr>
            <w:tcW w:w="1353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>拍品所属             拍卖会名称</w:t>
            </w: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>拍品所属                 专场名称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>拍品编号</w:t>
            </w:r>
          </w:p>
        </w:tc>
        <w:tc>
          <w:tcPr>
            <w:tcW w:w="1853" w:type="dxa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 xml:space="preserve">成交价            </w:t>
            </w:r>
            <w:r>
              <w:rPr>
                <w:rStyle w:val="5"/>
                <w:rFonts w:ascii="黑体" w:hAnsi="黑体" w:eastAsia="黑体"/>
                <w:kern w:val="0"/>
                <w:sz w:val="21"/>
                <w:szCs w:val="21"/>
              </w:rPr>
              <w:t>（不含佣金/万元）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 xml:space="preserve">应收佣金额             </w:t>
            </w:r>
            <w:r>
              <w:rPr>
                <w:rStyle w:val="5"/>
                <w:rFonts w:ascii="黑体" w:hAnsi="黑体" w:eastAsia="黑体"/>
                <w:kern w:val="0"/>
                <w:sz w:val="21"/>
                <w:szCs w:val="21"/>
              </w:rPr>
              <w:t>（买方/万元）</w:t>
            </w:r>
          </w:p>
        </w:tc>
        <w:tc>
          <w:tcPr>
            <w:tcW w:w="1813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 xml:space="preserve">拍品款结算进度                          </w:t>
            </w:r>
            <w:r>
              <w:rPr>
                <w:rStyle w:val="5"/>
                <w:rFonts w:ascii="黑体" w:hAnsi="黑体" w:eastAsia="黑体"/>
                <w:kern w:val="0"/>
                <w:sz w:val="21"/>
                <w:szCs w:val="21"/>
              </w:rPr>
              <w:t>（截至填报日）</w:t>
            </w:r>
          </w:p>
        </w:tc>
        <w:tc>
          <w:tcPr>
            <w:tcW w:w="1737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>拍品征集                 来源区域</w:t>
            </w:r>
          </w:p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>（此列可不填）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260" w:lineRule="exact"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555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13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○未结算                              ○未完全结算                             ○已结算</w:t>
            </w:r>
          </w:p>
        </w:tc>
        <w:tc>
          <w:tcPr>
            <w:tcW w:w="1737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○内地               ○港、澳、台                   ○国外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555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13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○未结算                              ○未完全结算                             ○已结算</w:t>
            </w:r>
          </w:p>
        </w:tc>
        <w:tc>
          <w:tcPr>
            <w:tcW w:w="1737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○内地               ○港、澳、台                   ○国外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555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13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○未结算                              ○未完全结算                             ○已结算</w:t>
            </w:r>
          </w:p>
        </w:tc>
        <w:tc>
          <w:tcPr>
            <w:tcW w:w="1737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○内地               ○港、澳、台                   ○国外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555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13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○未结算                              ○未完全结算                             ○已结算</w:t>
            </w:r>
          </w:p>
        </w:tc>
        <w:tc>
          <w:tcPr>
            <w:tcW w:w="1737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○内地               ○港、澳、台                   ○国外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555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13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○未结算                              ○未完全结算                             ○已结算</w:t>
            </w:r>
          </w:p>
        </w:tc>
        <w:tc>
          <w:tcPr>
            <w:tcW w:w="1737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○内地               ○港、澳、台                   ○国外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1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646" w:type="dxa"/>
            <w:vAlign w:val="center"/>
          </w:tcPr>
          <w:p>
            <w:pPr>
              <w:spacing w:line="260" w:lineRule="exact"/>
              <w:jc w:val="center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3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53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555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  <w:tc>
          <w:tcPr>
            <w:tcW w:w="1813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○未结算                              ○未完全结算                             ○已结算</w:t>
            </w:r>
          </w:p>
        </w:tc>
        <w:tc>
          <w:tcPr>
            <w:tcW w:w="1737" w:type="dxa"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○内地               ○港、澳、台                   ○国外</w:t>
            </w:r>
          </w:p>
        </w:tc>
        <w:tc>
          <w:tcPr>
            <w:tcW w:w="1106" w:type="dxa"/>
            <w:noWrap/>
            <w:vAlign w:val="center"/>
          </w:tcPr>
          <w:p>
            <w:pPr>
              <w:spacing w:line="260" w:lineRule="exact"/>
              <w:jc w:val="left"/>
              <w:rPr>
                <w:rStyle w:val="5"/>
                <w:kern w:val="0"/>
                <w:sz w:val="21"/>
                <w:szCs w:val="21"/>
              </w:rPr>
            </w:pPr>
            <w:r>
              <w:rPr>
                <w:rStyle w:val="5"/>
                <w:kern w:val="0"/>
                <w:sz w:val="21"/>
                <w:szCs w:val="21"/>
              </w:rPr>
              <w:t>　</w:t>
            </w:r>
          </w:p>
        </w:tc>
      </w:tr>
    </w:tbl>
    <w:p>
      <w:pPr>
        <w:spacing w:beforeLines="50"/>
        <w:rPr>
          <w:rStyle w:val="5"/>
          <w:rFonts w:ascii="宋体"/>
          <w:kern w:val="0"/>
          <w:sz w:val="20"/>
          <w:szCs w:val="20"/>
        </w:rPr>
      </w:pPr>
      <w:r>
        <w:rPr>
          <w:rStyle w:val="5"/>
          <w:rFonts w:ascii="宋体"/>
          <w:kern w:val="0"/>
          <w:sz w:val="20"/>
          <w:szCs w:val="20"/>
        </w:rPr>
        <w:t>* 点击添加行</w:t>
      </w:r>
    </w:p>
    <w:p>
      <w:pPr>
        <w:ind w:left="-360" w:leftChars="-150"/>
        <w:rPr>
          <w:rStyle w:val="5"/>
          <w:rFonts w:ascii="Times New Roman" w:hAnsi="黑体" w:eastAsia="黑体"/>
          <w:sz w:val="30"/>
          <w:szCs w:val="30"/>
        </w:rPr>
      </w:pPr>
    </w:p>
    <w:p>
      <w:pPr>
        <w:ind w:left="-360" w:leftChars="-150"/>
        <w:rPr>
          <w:rStyle w:val="5"/>
          <w:rFonts w:ascii="Times New Roman" w:hAnsi="Times New Roman" w:eastAsia="黑体"/>
          <w:sz w:val="30"/>
          <w:szCs w:val="30"/>
        </w:rPr>
      </w:pPr>
      <w:r>
        <w:rPr>
          <w:rStyle w:val="5"/>
          <w:rFonts w:ascii="Times New Roman" w:hAnsi="黑体" w:eastAsia="黑体"/>
          <w:sz w:val="30"/>
          <w:szCs w:val="30"/>
        </w:rPr>
        <w:t>附表</w:t>
      </w:r>
      <w:r>
        <w:rPr>
          <w:rStyle w:val="5"/>
          <w:rFonts w:ascii="Times New Roman" w:hAnsi="Times New Roman" w:eastAsia="黑体"/>
          <w:sz w:val="30"/>
          <w:szCs w:val="30"/>
        </w:rPr>
        <w:t>2</w:t>
      </w:r>
      <w:r>
        <w:rPr>
          <w:rStyle w:val="5"/>
          <w:rFonts w:ascii="Times New Roman" w:hAnsi="黑体" w:eastAsia="黑体"/>
          <w:sz w:val="30"/>
          <w:szCs w:val="30"/>
        </w:rPr>
        <w:t>：</w:t>
      </w:r>
    </w:p>
    <w:p>
      <w:pPr>
        <w:snapToGrid w:val="0"/>
        <w:spacing w:before="163" w:after="163"/>
        <w:jc w:val="center"/>
        <w:rPr>
          <w:rStyle w:val="5"/>
          <w:rFonts w:ascii="方正小标宋_GBK" w:eastAsia="方正小标宋_GBK"/>
          <w:sz w:val="42"/>
          <w:szCs w:val="42"/>
        </w:rPr>
      </w:pPr>
      <w:r>
        <w:rPr>
          <w:rStyle w:val="5"/>
          <w:rFonts w:ascii="方正小标宋_GBK" w:eastAsia="方正小标宋_GBK"/>
          <w:color w:val="auto"/>
          <w:sz w:val="42"/>
          <w:szCs w:val="42"/>
        </w:rPr>
        <w:t>20</w:t>
      </w:r>
      <w:r>
        <w:rPr>
          <w:rStyle w:val="5"/>
          <w:rFonts w:hint="eastAsia" w:ascii="方正小标宋_GBK" w:eastAsia="方正小标宋_GBK"/>
          <w:color w:val="auto"/>
          <w:sz w:val="42"/>
          <w:szCs w:val="42"/>
        </w:rPr>
        <w:t>20</w:t>
      </w:r>
      <w:r>
        <w:rPr>
          <w:rStyle w:val="5"/>
          <w:rFonts w:ascii="方正小标宋_GBK" w:eastAsia="方正小标宋_GBK"/>
          <w:sz w:val="42"/>
          <w:szCs w:val="42"/>
        </w:rPr>
        <w:t>年度客户违约信息统计表</w:t>
      </w:r>
    </w:p>
    <w:tbl>
      <w:tblPr>
        <w:tblStyle w:val="3"/>
        <w:tblW w:w="148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659"/>
        <w:gridCol w:w="2838"/>
        <w:gridCol w:w="3128"/>
        <w:gridCol w:w="4967"/>
        <w:gridCol w:w="13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25" w:type="dxa"/>
            <w:noWrap/>
            <w:vAlign w:val="center"/>
          </w:tcPr>
          <w:p>
            <w:pPr>
              <w:jc w:val="center"/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59" w:type="dxa"/>
            <w:noWrap/>
            <w:vAlign w:val="center"/>
          </w:tcPr>
          <w:p>
            <w:pPr>
              <w:jc w:val="center"/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客 户 名 称</w:t>
            </w:r>
          </w:p>
        </w:tc>
        <w:tc>
          <w:tcPr>
            <w:tcW w:w="2838" w:type="dxa"/>
            <w:noWrap/>
            <w:vAlign w:val="center"/>
          </w:tcPr>
          <w:p>
            <w:pPr>
              <w:jc w:val="center"/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证件类型及证件号</w:t>
            </w:r>
          </w:p>
        </w:tc>
        <w:tc>
          <w:tcPr>
            <w:tcW w:w="3128" w:type="dxa"/>
            <w:noWrap/>
            <w:vAlign w:val="center"/>
          </w:tcPr>
          <w:p>
            <w:pPr>
              <w:jc w:val="center"/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违约事实描述</w:t>
            </w: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处理意愿（可多选）</w:t>
            </w:r>
          </w:p>
        </w:tc>
        <w:tc>
          <w:tcPr>
            <w:tcW w:w="1379" w:type="dxa"/>
            <w:noWrap/>
            <w:vAlign w:val="center"/>
          </w:tcPr>
          <w:p>
            <w:pPr>
              <w:jc w:val="center"/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5"/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>证明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925" w:type="dxa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659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　</w:t>
            </w:r>
          </w:p>
        </w:tc>
        <w:tc>
          <w:tcPr>
            <w:tcW w:w="2838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证件类型[               ]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证 件 号[               ]</w:t>
            </w:r>
          </w:p>
        </w:tc>
        <w:tc>
          <w:tcPr>
            <w:tcW w:w="3128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　</w:t>
            </w:r>
          </w:p>
        </w:tc>
        <w:tc>
          <w:tcPr>
            <w:tcW w:w="4967" w:type="dxa"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仅限中拍协备案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授权中拍协在艺委会范围内进行通报使用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授权中拍协在全行业范围内进行通报使用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授权中拍协向国家及社会有关诚信建设部门通报</w:t>
            </w:r>
          </w:p>
        </w:tc>
        <w:tc>
          <w:tcPr>
            <w:tcW w:w="1379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【点击上传有关事实证明材料】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25" w:type="dxa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659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　</w:t>
            </w:r>
          </w:p>
        </w:tc>
        <w:tc>
          <w:tcPr>
            <w:tcW w:w="2838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证件类型[               ]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证 件 号[               ]</w:t>
            </w:r>
          </w:p>
        </w:tc>
        <w:tc>
          <w:tcPr>
            <w:tcW w:w="3128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　</w:t>
            </w:r>
          </w:p>
        </w:tc>
        <w:tc>
          <w:tcPr>
            <w:tcW w:w="4967" w:type="dxa"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仅限中拍协备案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授权中拍协在艺委会范围内进行通报使用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授权中拍协在全行业范围内进行通报使用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授权中拍协向国家及社会有关诚信建设部门通报</w:t>
            </w:r>
          </w:p>
        </w:tc>
        <w:tc>
          <w:tcPr>
            <w:tcW w:w="1379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【点击上传有关事实证明材料】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25" w:type="dxa"/>
            <w:noWrap/>
            <w:vAlign w:val="center"/>
          </w:tcPr>
          <w:p>
            <w:pPr>
              <w:jc w:val="left"/>
              <w:rPr>
                <w:rStyle w:val="5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659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　</w:t>
            </w:r>
          </w:p>
        </w:tc>
        <w:tc>
          <w:tcPr>
            <w:tcW w:w="2838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证件类型[               ]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证 件 号[               ]</w:t>
            </w:r>
          </w:p>
        </w:tc>
        <w:tc>
          <w:tcPr>
            <w:tcW w:w="3128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　</w:t>
            </w:r>
          </w:p>
        </w:tc>
        <w:tc>
          <w:tcPr>
            <w:tcW w:w="4967" w:type="dxa"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仅限中拍协备案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授权中拍协在艺委会范围内进行通报使用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授权中拍协在全行业范围内进行通报使用</w:t>
            </w:r>
          </w:p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○ 授权中拍协向国家及社会有关诚信建设部门通报</w:t>
            </w:r>
          </w:p>
        </w:tc>
        <w:tc>
          <w:tcPr>
            <w:tcW w:w="1379" w:type="dxa"/>
            <w:noWrap/>
            <w:vAlign w:val="center"/>
          </w:tcPr>
          <w:p>
            <w:pPr>
              <w:pStyle w:val="6"/>
              <w:rPr>
                <w:rStyle w:val="5"/>
                <w:rFonts w:ascii="Times New Roman" w:hAnsi="Times New Roman" w:eastAsia="仿宋_GB2312"/>
                <w:kern w:val="0"/>
              </w:rPr>
            </w:pPr>
            <w:r>
              <w:rPr>
                <w:rStyle w:val="5"/>
                <w:rFonts w:ascii="Times New Roman" w:hAnsi="Times New Roman" w:eastAsia="仿宋_GB2312"/>
                <w:kern w:val="0"/>
              </w:rPr>
              <w:t>【点击上传有关事实证明材料】</w:t>
            </w:r>
          </w:p>
        </w:tc>
      </w:tr>
    </w:tbl>
    <w:p>
      <w:pPr>
        <w:spacing w:beforeLines="50"/>
        <w:rPr>
          <w:rStyle w:val="5"/>
          <w:rFonts w:ascii="宋体"/>
          <w:kern w:val="0"/>
          <w:sz w:val="20"/>
          <w:szCs w:val="20"/>
        </w:rPr>
      </w:pPr>
      <w:r>
        <w:rPr>
          <w:rStyle w:val="5"/>
          <w:rFonts w:ascii="宋体"/>
          <w:kern w:val="0"/>
          <w:sz w:val="20"/>
          <w:szCs w:val="20"/>
        </w:rPr>
        <w:t>* 点击添加行</w:t>
      </w:r>
    </w:p>
    <w:p>
      <w:pPr>
        <w:rPr>
          <w:rStyle w:val="5"/>
          <w:rFonts w:ascii="Times New Roman" w:hAnsi="黑体" w:eastAsia="黑体"/>
          <w:sz w:val="30"/>
          <w:szCs w:val="30"/>
        </w:rPr>
        <w:sectPr>
          <w:footerReference r:id="rId7" w:type="default"/>
          <w:footerReference r:id="rId8" w:type="even"/>
          <w:pgSz w:w="16840" w:h="11907" w:orient="landscape"/>
          <w:pgMar w:top="1440" w:right="1474" w:bottom="1440" w:left="1474" w:header="851" w:footer="1134" w:gutter="0"/>
          <w:pgNumType w:chapStyle="1"/>
          <w:cols w:space="425" w:num="1"/>
          <w:docGrid w:type="lines"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Style w:val="5"/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7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6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11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10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13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12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633F0"/>
    <w:rsid w:val="24A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宋体" w:eastAsia="仿宋_GB2312" w:cstheme="minorBidi"/>
      <w:color w:val="00000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UserStyle_8"/>
    <w:qFormat/>
    <w:uiPriority w:val="0"/>
    <w:pPr>
      <w:jc w:val="both"/>
      <w:textAlignment w:val="baseline"/>
    </w:pPr>
    <w:rPr>
      <w:rFonts w:ascii="Calibri" w:hAnsi="Calibri" w:eastAsia="Calibri" w:cstheme="minorBid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2021-04-23T03:31:00Z</dcterms:created>
  <dc:creator>正在输入······</dc:creator>
  <cp:lastModifiedBy>正在输入······</cp:lastModifiedBy>
  <dcterms:modified xsi:type="dcterms:W3CDTF">2021-04-23T03:31:37Z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98D02303094C44AF83082E521CC97C85</vt:lpwstr>
  </property>
</Properties>
</file>